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ISWAD website development branding by ISWAD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ISWAD user help by ISWAD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ISWAD Saas by ISWAD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ISWAD Saas banner by ISWAD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ISWAD order help by ISWAD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ISWAD need help 2 by ISWAD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ISWAD need help 1 by ISWAD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ISWAD need help 3 by ISWAD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ISWAD mobile app development by ISWAD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ISWAD mobile app development banner by ISWAD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ISWAD inquiries by ISWAD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ISWAD ecommerce by ISWAD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ISWAD ecommerce banner by ISWAD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ISWAD data analysis machine learning by ISWAD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ISWAD data analysis machine learning banner by ISWAD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ISWAD Consultancy services by ISWAD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ISWAD Consultancy services banner by ISWAD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ISWAD api integration by ISWAD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ISWAD api integration banner by ISWAD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ISWAD admin dashboard by ISWAD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ISWAD admin dashboard banner by ISWAD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