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60和00的主板股票</w:t>
      </w:r>
      <w:r>
        <w:rPr>
          <w:rFonts w:hint="eastAsia"/>
          <w:lang w:val="en-US" w:eastAsia="zh-CN"/>
        </w:rPr>
        <w:t>：上市首日最高涨幅44%，次日起10%涨跌幅限制，ST股票为±5%、最大跌幅36%，实施核准制。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68和30开头的股票</w:t>
      </w:r>
      <w:r>
        <w:rPr>
          <w:rFonts w:hint="eastAsia"/>
          <w:lang w:val="en-US" w:eastAsia="zh-CN"/>
        </w:rPr>
        <w:t>：上市前五个交易日不设置涨跌幅限制，次日起实施20%涨跌幅限制，设有临停制度，即股价较开盘价上涨和下跌至30%，60%时各临停10分钟。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北交所8开头的股票</w:t>
      </w:r>
      <w:r>
        <w:rPr>
          <w:rFonts w:hint="eastAsia"/>
          <w:lang w:val="en-US" w:eastAsia="zh-CN"/>
        </w:rPr>
        <w:t>：上市首日</w:t>
      </w:r>
      <w:bookmarkStart w:id="0" w:name="_GoBack"/>
      <w:bookmarkEnd w:id="0"/>
      <w:r>
        <w:rPr>
          <w:rFonts w:hint="eastAsia"/>
          <w:lang w:val="en-US" w:eastAsia="zh-CN"/>
        </w:rPr>
        <w:t>不设置涨跌幅限制，次日后实施30%涨跌幅限制。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净资产收益率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财务状况》杜邦分析结构图</w:t>
      </w:r>
    </w:p>
    <w:p>
      <w:r>
        <w:drawing>
          <wp:inline distT="0" distB="0" distL="114300" distR="114300">
            <wp:extent cx="5268595" cy="930910"/>
            <wp:effectExtent l="0" t="0" r="825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93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1626870"/>
            <wp:effectExtent l="0" t="0" r="444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研报</w:t>
      </w:r>
    </w:p>
    <w:p/>
    <w:p>
      <w:r>
        <w:drawing>
          <wp:inline distT="0" distB="0" distL="114300" distR="114300">
            <wp:extent cx="5266055" cy="3089275"/>
            <wp:effectExtent l="0" t="0" r="10795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市值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机构走逻辑估值玩法，所投资的上市公司估值一般很高，市值也很高，市值一般在百亿之上，常见的大盘、超大盘，基本是机构骨占主导，如贵州茅台、五粮液就是典型的机构股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主力持仓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可以看到持股的机构的数量，缺点是该数据更新慢，以季度为单位</w:t>
      </w:r>
    </w:p>
    <w:p/>
    <w:p>
      <w:r>
        <w:drawing>
          <wp:inline distT="0" distB="0" distL="114300" distR="114300">
            <wp:extent cx="5272405" cy="2008505"/>
            <wp:effectExtent l="0" t="0" r="444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08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1468120"/>
            <wp:effectExtent l="0" t="0" r="10160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1615440"/>
            <wp:effectExtent l="0" t="0" r="762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资金流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ST股票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意即“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"https://baike.baidu.com/item/%E7%89%B9%E5%88%AB%E5%A4%84%E7%90%86/5461960" \t "https://baike.baidu.com/item/ST%E8%82%A1%E7%A5%A8/_blank"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特别处理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”。该政策针对的对象是出现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"https://baike.baidu.com/item/%E8%B4%A2%E5%8A%A1%E7%8A%B6%E5%86%B5/893675" \t "https://baike.baidu.com/item/ST%E8%82%A1%E7%A5%A8/_blank"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财务状况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或其他状况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"https://baike.baidu.com/item/%E5%BC%82%E5%B8%B8/33341" \t "https://baike.baidu.com/item/ST%E8%82%A1%E7%A5%A8/_blank"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异常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的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*ST</w:t>
      </w:r>
      <w:r>
        <w:rPr>
          <w:rFonts w:hint="eastAsia"/>
        </w:rPr>
        <w:t>股票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那么就是该股票有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"https://baike.baidu.com/item/%E9%80%80%E5%B8%82%E9%A3%8E%E9%99%A9/639821" \t "https://baike.baidu.com/item/ST%E8%82%A1%E7%A5%A8/_blank"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退市风险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，希望警惕的意思，具体就是在4月左右，公司向证监会交的财务报表，连续3年亏损，就有退市的风险。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换手率</w:t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换手率=某一段时期内的</w:t>
      </w:r>
      <w:r>
        <w:rPr>
          <w:rFonts w:hint="default" w:ascii="Arial" w:hAnsi="Arial" w:eastAsia="宋体" w:cs="Arial"/>
          <w:b/>
          <w:bCs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成交量/发行总股数×100%</w:t>
      </w:r>
    </w:p>
    <w:p>
      <w:p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指在一定时间内市场中股票转手买卖的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"https://baike.baidu.com/item/%E9%A2%91%E7%8E%87/19505" \t "https://baike.baidu.com/item/_blank"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频率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，是反映股票流通性强弱的指标之一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1%-3%  一般情况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3%-7%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相对活跃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7%-10%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高度活跃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&gt; 10%</w:t>
      </w:r>
      <w:r>
        <w:rPr>
          <w:rFonts w:hint="eastAsia"/>
          <w:lang w:val="en-US" w:eastAsia="zh-CN"/>
        </w:rPr>
        <w:tab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大庄密切操作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可能是黑马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量比</w:t>
      </w:r>
      <w:r>
        <w:rPr>
          <w:rFonts w:hint="eastAsia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>量比=（现成交总手数 / 现累计开市时间(分) ）/ 过去5日平均每分钟成交量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0.8-1.5  正常水平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1.5-2.5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温和放量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2.5-5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明显放量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5-10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剧烈放量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&gt; 10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ab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一般可以考虑反向操作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  大量买入或者大量卖出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委比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委比=(委买手数－委卖手数)/(委买手数+委卖手数)×100%</w:t>
      </w:r>
    </w:p>
    <w:tbl>
      <w:tblPr>
        <w:tblStyle w:val="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1"/>
        <w:gridCol w:w="66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eastAsia" w:ascii="Arial" w:hAnsi="Arial" w:cs="Arial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委买 : 委卖</w:t>
            </w:r>
          </w:p>
        </w:tc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委比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5 : 5</w:t>
            </w:r>
          </w:p>
        </w:tc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6 : 4</w:t>
            </w:r>
          </w:p>
        </w:tc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20%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7 : 3</w:t>
            </w:r>
          </w:p>
        </w:tc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40%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8 : 2</w:t>
            </w:r>
          </w:p>
        </w:tc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60%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0" w:hRule="atLeast"/>
        </w:trPr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9 : 1</w:t>
            </w:r>
          </w:p>
        </w:tc>
        <w:tc>
          <w:tcPr>
            <w:tcW w:w="0" w:type="auto"/>
            <w:tcBorders>
              <w:top w:val="single" w:color="E6E6E6" w:sz="6" w:space="0"/>
              <w:left w:val="single" w:color="E6E6E6" w:sz="6" w:space="0"/>
              <w:bottom w:val="single" w:color="E6E6E6" w:sz="6" w:space="0"/>
              <w:right w:val="single" w:color="E6E6E6" w:sz="6" w:space="0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wordWrap w:val="0"/>
              <w:spacing w:before="0" w:beforeAutospacing="0" w:after="0" w:afterAutospacing="0" w:line="360" w:lineRule="atLeast"/>
              <w:ind w:left="0" w:right="0" w:firstLine="0"/>
              <w:jc w:val="left"/>
              <w:textAlignment w:val="center"/>
              <w:rPr>
                <w:rFonts w:hint="default" w:ascii="Arial" w:hAnsi="Arial" w:cs="Arial"/>
                <w:i w:val="0"/>
                <w:iCs w:val="0"/>
                <w:caps w:val="0"/>
                <w:color w:val="333333"/>
                <w:spacing w:val="0"/>
                <w:sz w:val="18"/>
                <w:szCs w:val="18"/>
              </w:rPr>
            </w:pPr>
            <w:r>
              <w:rPr>
                <w:rFonts w:hint="default" w:ascii="Arial" w:hAnsi="Arial" w:eastAsia="宋体" w:cs="Arial"/>
                <w:i w:val="0"/>
                <w:iCs w:val="0"/>
                <w:caps w:val="0"/>
                <w:color w:val="333333"/>
                <w:spacing w:val="0"/>
                <w:kern w:val="0"/>
                <w:sz w:val="18"/>
                <w:szCs w:val="18"/>
                <w:lang w:val="en-US" w:eastAsia="zh-CN" w:bidi="ar"/>
              </w:rPr>
              <w:t>80%</w:t>
            </w:r>
          </w:p>
        </w:tc>
      </w:tr>
    </w:tbl>
    <w:p>
      <w:p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内盘和外盘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内盘：股票以买入价格成交，说明抛盘比较活跃</w:t>
      </w:r>
    </w:p>
    <w:p>
      <w:pP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外盘：股票以卖出价格成交，说明买盘比较积极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所谓内盘就是股票在买入价成交，成交价为申买价，说明抛盘比较踊跃；外盘就是股票在卖出价成交，成交价为申卖价，说明买盘比较积极.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市盈率</w:t>
      </w:r>
    </w:p>
    <w:p>
      <w:pPr>
        <w:rPr>
          <w:rFonts w:hint="eastAsia"/>
        </w:rPr>
      </w:pPr>
      <w:r>
        <w:rPr>
          <w:rFonts w:hint="default"/>
          <w:lang w:val="en-US" w:eastAsia="zh-CN"/>
        </w:rPr>
        <w:t>一般来说，市盈率水平为：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&lt;0 ：指该公司盈利为负（因盈利为负，计算市盈率没有意义，所以一般软件显示为“—”）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0-13 ：即价值被低估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14-20：即正常水平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21-28：即价值被高估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28+ ：反映股市出现投机性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"https://baike.baidu.com/item/%E6%B3%A1%E6%B2%AB/3757" \t "https://baike.baidu.com/item/%E5%B8%82%E7%9B%88%E7%8E%87/_blank"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</w:rPr>
        <w:t>泡沫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** 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市盈动又称为市盈利，市盈动中亏损指的是上个会计审核期净利润为负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振幅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  <w:lang w:eastAsia="zh-CN"/>
        </w:rPr>
      </w:pP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"https://baike.baidu.com/item/%E8%82%A1%E7%A5%A8%E5%BC%80%E7%9B%98/5044312" \t "https://baike.baidu.com/item/%E8%82%A1%E7%A5%A8%E6%8C%AF%E5%B9%85/_blank"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股票开盘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后的当日最高价和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"https://baike.baidu.com/item/%E6%9C%80%E4%BD%8E%E4%BB%B7/3071490" \t "https://baike.baidu.com/item/%E8%82%A1%E7%A5%A8%E6%8C%AF%E5%B9%85/_blank"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最低价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之间的差的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"https://baike.baidu.com/item/%E7%BB%9D%E5%AF%B9%E5%80%BC/3995097" \t "https://baike.baidu.com/item/%E8%82%A1%E7%A5%A8%E6%8C%AF%E5%B9%85/_blank"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绝对值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与昨日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"https://baike.baidu.com/item/%E6%94%B6%E7%9B%98%E4%BB%B7/648023" \t "https://baike.baidu.com/item/%E8%82%A1%E7%A5%A8%E6%8C%AF%E5%B9%85/_blank"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收盘价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的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"https://baike.baidu.com/item/%E7%99%BE%E5%88%86%E6%AF%94/1303052" \t "https://baike.baidu.com/item/%E8%82%A1%E7%A5%A8%E6%8C%AF%E5%B9%85/_blank"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百分比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eastAsia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  <w:lang w:eastAsia="zh-CN"/>
        </w:rPr>
        <w:t>，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它在一定程度上表现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instrText xml:space="preserve"> HYPERLINK "https://baike.baidu.com/item/%E8%82%A1%E7%A5%A8/22647" \t "https://baike.baidu.com/item/%E8%82%A1%E7%A5%A8%E6%8C%AF%E5%B9%85/_blank" </w:instrTex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6"/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股票</w:t>
      </w:r>
      <w:r>
        <w:rPr>
          <w:rFonts w:hint="default" w:ascii="Arial" w:hAnsi="Arial" w:eastAsia="宋体" w:cs="Arial"/>
          <w:i w:val="0"/>
          <w:iCs w:val="0"/>
          <w:caps w:val="0"/>
          <w:color w:val="136EC2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的活跃程度。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  <w:t>今天有一个股票，昨天收盘是10块，今天最高上涨到11块,涨10%，最低到过9块，下跌10%。那么振幅20%</w:t>
      </w:r>
    </w:p>
    <w:p>
      <w:pP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eastAsia"/>
        </w:rPr>
      </w:pPr>
      <w:r>
        <w:rPr>
          <w:rFonts w:hint="eastAsia"/>
        </w:rPr>
        <w:t>沪市A股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以600或601打头</w:t>
      </w:r>
    </w:p>
    <w:p>
      <w:pPr>
        <w:rPr>
          <w:rFonts w:hint="eastAsia"/>
        </w:rPr>
      </w:pPr>
      <w:r>
        <w:rPr>
          <w:rFonts w:hint="eastAsia"/>
        </w:rPr>
        <w:t>沪市B股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以900打头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深市A股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以000打头</w:t>
      </w:r>
    </w:p>
    <w:p>
      <w:pPr>
        <w:rPr>
          <w:rFonts w:hint="eastAsia"/>
        </w:rPr>
      </w:pPr>
      <w:r>
        <w:rPr>
          <w:rFonts w:hint="eastAsia"/>
        </w:rPr>
        <w:t>深圳B股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以200打头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沪市新股申购的代码是以730打头</w:t>
      </w:r>
    </w:p>
    <w:p>
      <w:pPr>
        <w:rPr>
          <w:rFonts w:hint="eastAsia"/>
        </w:rPr>
      </w:pPr>
      <w:r>
        <w:rPr>
          <w:rFonts w:hint="eastAsia"/>
        </w:rPr>
        <w:t>深市新股申购的代码与深市股票买卖代码一样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300开头的股票是创业板股票；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40" w:lineRule="atLeast"/>
        <w:ind w:left="0" w:right="0" w:firstLine="0"/>
        <w:jc w:val="both"/>
        <w:rPr>
          <w:rStyle w:val="5"/>
          <w:rFonts w:hint="eastAsia" w:ascii="微软雅黑" w:hAnsi="微软雅黑" w:eastAsia="微软雅黑" w:cs="微软雅黑"/>
          <w:b/>
          <w:bCs/>
          <w:caps w:val="0"/>
          <w:color w:val="434343"/>
          <w:spacing w:val="0"/>
          <w:sz w:val="30"/>
          <w:szCs w:val="3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40" w:lineRule="atLeast"/>
        <w:ind w:left="0" w:right="0" w:firstLine="0"/>
        <w:jc w:val="both"/>
        <w:rPr>
          <w:rFonts w:ascii="微软雅黑" w:hAnsi="微软雅黑" w:eastAsia="微软雅黑" w:cs="微软雅黑"/>
          <w:caps w:val="0"/>
          <w:color w:val="000000"/>
          <w:spacing w:val="0"/>
          <w:sz w:val="30"/>
          <w:szCs w:val="30"/>
        </w:rPr>
      </w:pPr>
      <w:r>
        <w:rPr>
          <w:rStyle w:val="5"/>
          <w:rFonts w:hint="eastAsia" w:ascii="微软雅黑" w:hAnsi="微软雅黑" w:eastAsia="微软雅黑" w:cs="微软雅黑"/>
          <w:b/>
          <w:bCs/>
          <w:caps w:val="0"/>
          <w:color w:val="434343"/>
          <w:spacing w:val="0"/>
          <w:sz w:val="30"/>
          <w:szCs w:val="30"/>
          <w:shd w:val="clear" w:fill="FFFFFF"/>
        </w:rPr>
        <w:t>开通创业板条件：</w:t>
      </w:r>
    </w:p>
    <w:p>
      <w:pPr>
        <w:rPr>
          <w:rFonts w:hint="eastAsia"/>
        </w:rPr>
      </w:pPr>
      <w:r>
        <w:rPr>
          <w:rFonts w:hint="eastAsia"/>
        </w:rPr>
        <w:t>资产要求：申请开通权限前20个交易日证券账户及资金账户内的资产日均不低于10万元（不包括该投资者通过融资融券融入的资金和证券）</w:t>
      </w:r>
    </w:p>
    <w:p>
      <w:pPr>
        <w:rPr>
          <w:rFonts w:hint="eastAsia"/>
        </w:rPr>
      </w:pPr>
      <w:r>
        <w:rPr>
          <w:rFonts w:hint="eastAsia"/>
        </w:rPr>
        <w:t>交易经验：参与证券交易24个月以上。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ZhNmVjNGM2OTA3YzEzM2Q0YTZmZTI0ODAyMzU2OWUifQ=="/>
  </w:docVars>
  <w:rsids>
    <w:rsidRoot w:val="1E3C341E"/>
    <w:rsid w:val="00D112E4"/>
    <w:rsid w:val="026B3542"/>
    <w:rsid w:val="03B22E79"/>
    <w:rsid w:val="04F44742"/>
    <w:rsid w:val="07EF1DDB"/>
    <w:rsid w:val="0AC13E1C"/>
    <w:rsid w:val="0B074B76"/>
    <w:rsid w:val="0B934261"/>
    <w:rsid w:val="0DA9075B"/>
    <w:rsid w:val="17722AFB"/>
    <w:rsid w:val="181756B2"/>
    <w:rsid w:val="1C101E82"/>
    <w:rsid w:val="1E3C341E"/>
    <w:rsid w:val="20585F80"/>
    <w:rsid w:val="20A61A32"/>
    <w:rsid w:val="216053E2"/>
    <w:rsid w:val="21C7093C"/>
    <w:rsid w:val="2226178F"/>
    <w:rsid w:val="232554B2"/>
    <w:rsid w:val="23B137DA"/>
    <w:rsid w:val="23E63240"/>
    <w:rsid w:val="25E510B3"/>
    <w:rsid w:val="280B500B"/>
    <w:rsid w:val="292143E1"/>
    <w:rsid w:val="2DB32805"/>
    <w:rsid w:val="2F0B22FF"/>
    <w:rsid w:val="2FB07DA1"/>
    <w:rsid w:val="30325F2D"/>
    <w:rsid w:val="30F00E13"/>
    <w:rsid w:val="31CF0732"/>
    <w:rsid w:val="3232616D"/>
    <w:rsid w:val="3409365C"/>
    <w:rsid w:val="348A398B"/>
    <w:rsid w:val="34A23CE3"/>
    <w:rsid w:val="35857E07"/>
    <w:rsid w:val="37E10089"/>
    <w:rsid w:val="39AF128F"/>
    <w:rsid w:val="3BB72131"/>
    <w:rsid w:val="3FED19E9"/>
    <w:rsid w:val="42066402"/>
    <w:rsid w:val="440D7772"/>
    <w:rsid w:val="44C214F3"/>
    <w:rsid w:val="47C623BE"/>
    <w:rsid w:val="4B912972"/>
    <w:rsid w:val="4B9B002A"/>
    <w:rsid w:val="4E8C361A"/>
    <w:rsid w:val="56AE37D7"/>
    <w:rsid w:val="573C5BB9"/>
    <w:rsid w:val="5F8A4C78"/>
    <w:rsid w:val="6017456C"/>
    <w:rsid w:val="60EA6E2B"/>
    <w:rsid w:val="6125396C"/>
    <w:rsid w:val="61567979"/>
    <w:rsid w:val="61BC40C6"/>
    <w:rsid w:val="622E4330"/>
    <w:rsid w:val="68CF20F7"/>
    <w:rsid w:val="6CC15676"/>
    <w:rsid w:val="6DE00446"/>
    <w:rsid w:val="74E01E00"/>
    <w:rsid w:val="756B6E80"/>
    <w:rsid w:val="7A3103DD"/>
    <w:rsid w:val="7ABB7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948</Words>
  <Characters>1047</Characters>
  <Lines>0</Lines>
  <Paragraphs>0</Paragraphs>
  <TotalTime>0</TotalTime>
  <ScaleCrop>false</ScaleCrop>
  <LinksUpToDate>false</LinksUpToDate>
  <CharactersWithSpaces>1089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2021-06-22T13:44:00Z</dcterms:created>
  <dc:creator>wudan</dc:creator>
  <cp:lastModifiedBy>……</cp:lastModifiedBy>
  <dcterms:modified xsi:type="dcterms:W3CDTF">2022-07-06T13:15:23Z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368C2D5091A04A5AB33CED304861EA0A</vt:lpwstr>
  </property>
</Properties>
</file>