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动火作业安全许可证</w:t>
      </w:r>
      <w:bookmarkEnd w:id="1"/>
    </w:p>
    <w:p>
      <w:pPr/>
      <w:r>
        <w:rPr>
          <w:rFonts w:ascii="宋体" w:hAnsi="宋体" w:eastAsia="宋体" w:cs="宋体"/>
          <w:sz w:val="24"/>
          <w:szCs w:val="24"/>
        </w:rPr>
        <w:t xml:space="preserve"> 表号：010-GD62-01                                    编号NO.: 223180007</w:t>
      </w:r>
    </w:p>
    <w:tbl>
      <w:tblGrid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</w:tblGrid>
      <w:tblPr>
        <w:tblStyle w:val="table style"/>
      </w:tblPr>
      <w:tr>
        <w:trPr/>
        <w:tc>
          <w:tcPr>
            <w:tcW w:w="2000" w:type="dxa"/>
            <w:vAlign w:val="center"/>
            <w:gridSpan w:val="8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申请人</w:t>
            </w:r>
          </w:p>
        </w:tc>
        <w:tc>
          <w:tcPr>
            <w:tcW w:w="3000" w:type="dxa"/>
            <w:vAlign w:val="center"/>
            <w:gridSpan w:val="12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郭科</w:t>
            </w:r>
          </w:p>
        </w:tc>
        <w:tc>
          <w:tcPr>
            <w:tcW w:w="2000" w:type="dxa"/>
            <w:vAlign w:val="center"/>
            <w:gridSpan w:val="8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作业单位/部门</w:t>
            </w:r>
          </w:p>
        </w:tc>
        <w:tc>
          <w:tcPr>
            <w:tcW w:w="3000" w:type="dxa"/>
            <w:vAlign w:val="center"/>
            <w:gridSpan w:val="12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天津市博辉机电安装工程有限公司</w:t>
            </w:r>
          </w:p>
        </w:tc>
      </w:tr>
      <w:tr>
        <w:trPr/>
        <w:tc>
          <w:tcPr>
            <w:tcW w:w="2000" w:type="dxa"/>
            <w:vAlign w:val="center"/>
            <w:gridSpan w:val="8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作业内容</w:t>
            </w:r>
          </w:p>
        </w:tc>
        <w:tc>
          <w:tcPr>
            <w:tcW w:w="3000" w:type="dxa"/>
            <w:vAlign w:val="center"/>
            <w:gridSpan w:val="12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111</w:t>
            </w:r>
          </w:p>
        </w:tc>
        <w:tc>
          <w:tcPr>
            <w:tcW w:w="2000" w:type="dxa"/>
            <w:vAlign w:val="center"/>
            <w:gridSpan w:val="8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动火地点/部位</w:t>
            </w:r>
          </w:p>
        </w:tc>
        <w:tc>
          <w:tcPr>
            <w:tcW w:w="3000" w:type="dxa"/>
            <w:vAlign w:val="center"/>
            <w:gridSpan w:val="12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222</w:t>
            </w:r>
          </w:p>
        </w:tc>
      </w:tr>
      <w:tr>
        <w:trPr/>
        <w:tc>
          <w:tcPr>
            <w:tcW w:w="2000" w:type="dxa"/>
            <w:vAlign w:val="center"/>
            <w:gridSpan w:val="8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动火作业级别</w:t>
            </w:r>
          </w:p>
        </w:tc>
        <w:tc>
          <w:tcPr>
            <w:tcW w:w="8000" w:type="dxa"/>
            <w:vAlign w:val="center"/>
            <w:gridSpan w:val="32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 □特级  ☑一级  □二级 </w:t>
            </w:r>
          </w:p>
        </w:tc>
      </w:tr>
      <w:tr>
        <w:trPr/>
        <w:tc>
          <w:tcPr>
            <w:tcW w:w="2000" w:type="dxa"/>
            <w:vAlign w:val="center"/>
            <w:gridSpan w:val="8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涉及的其他特殊作业</w:t>
            </w:r>
          </w:p>
        </w:tc>
        <w:tc>
          <w:tcPr>
            <w:tcW w:w="8000" w:type="dxa"/>
            <w:vAlign w:val="center"/>
            <w:gridSpan w:val="32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 □临时用电  ☑高处作业  □有限空间  □不涉及 </w:t>
            </w:r>
          </w:p>
        </w:tc>
      </w:tr>
      <w:tr>
        <w:trPr/>
        <w:tc>
          <w:tcPr>
            <w:tcW w:w="2000" w:type="dxa"/>
            <w:vAlign w:val="center"/>
            <w:gridSpan w:val="8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动火方式</w:t>
            </w:r>
          </w:p>
        </w:tc>
        <w:tc>
          <w:tcPr>
            <w:tcW w:w="8000" w:type="dxa"/>
            <w:vAlign w:val="center"/>
            <w:gridSpan w:val="32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 □切割  ☑打磨   □焊接 </w:t>
            </w:r>
          </w:p>
        </w:tc>
      </w:tr>
      <w:tr>
        <w:trPr/>
        <w:tc>
          <w:tcPr>
            <w:tcW w:w="2000" w:type="dxa"/>
            <w:vAlign w:val="center"/>
            <w:gridSpan w:val="8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风险分析</w:t>
            </w:r>
          </w:p>
        </w:tc>
        <w:tc>
          <w:tcPr>
            <w:tcW w:w="8000" w:type="dxa"/>
            <w:vAlign w:val="center"/>
            <w:gridSpan w:val="32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 ☑火灾  ☑爆炸  ☑触电  ☑坠落  ☑中毒  ☑灼烫  ☑窒息 </w:t>
            </w:r>
          </w:p>
        </w:tc>
      </w:tr>
      <w:tr>
        <w:trPr/>
        <w:tc>
          <w:tcPr>
            <w:tcW w:w="2000" w:type="dxa"/>
            <w:vAlign w:val="center"/>
            <w:gridSpan w:val="8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动火执行人</w:t>
            </w:r>
          </w:p>
        </w:tc>
        <w:tc>
          <w:tcPr>
            <w:tcW w:w="3000" w:type="dxa"/>
            <w:vAlign w:val="center"/>
            <w:gridSpan w:val="12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李小波</w:t>
            </w:r>
          </w:p>
        </w:tc>
        <w:tc>
          <w:tcPr>
            <w:tcW w:w="2000" w:type="dxa"/>
            <w:vAlign w:val="center"/>
            <w:gridSpan w:val="8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特种作业证件号</w:t>
            </w:r>
          </w:p>
        </w:tc>
        <w:tc>
          <w:tcPr>
            <w:tcW w:w="3000" w:type="dxa"/>
            <w:vAlign w:val="center"/>
            <w:gridSpan w:val="12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33333</w:t>
            </w:r>
          </w:p>
        </w:tc>
      </w:tr>
      <w:tr>
        <w:trPr/>
        <w:tc>
          <w:tcPr>
            <w:tcW w:w="2000" w:type="dxa"/>
            <w:vAlign w:val="center"/>
            <w:gridSpan w:val="8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动火执行人</w:t>
            </w:r>
          </w:p>
        </w:tc>
        <w:tc>
          <w:tcPr>
            <w:tcW w:w="3000" w:type="dxa"/>
            <w:vAlign w:val="center"/>
            <w:gridSpan w:val="12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许鹏飞</w:t>
            </w:r>
          </w:p>
        </w:tc>
        <w:tc>
          <w:tcPr>
            <w:tcW w:w="2000" w:type="dxa"/>
            <w:vAlign w:val="center"/>
            <w:gridSpan w:val="8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特种作业证件号</w:t>
            </w:r>
          </w:p>
        </w:tc>
        <w:tc>
          <w:tcPr>
            <w:tcW w:w="3000" w:type="dxa"/>
            <w:vAlign w:val="center"/>
            <w:gridSpan w:val="12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44444</w:t>
            </w:r>
          </w:p>
        </w:tc>
      </w:tr>
      <w:tr>
        <w:trPr/>
        <w:tc>
          <w:tcPr>
            <w:tcW w:w="2000" w:type="dxa"/>
            <w:vAlign w:val="center"/>
            <w:gridSpan w:val="8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动火时间</w:t>
            </w:r>
          </w:p>
        </w:tc>
        <w:tc>
          <w:tcPr>
            <w:tcW w:w="8000" w:type="dxa"/>
            <w:vAlign w:val="center"/>
            <w:gridSpan w:val="32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2022 年 11 月 15 日 00 时 00 分 至 2022 年 11 月 16 日 00 时 00 分</w:t>
            </w:r>
          </w:p>
        </w:tc>
      </w:tr>
      <w:tr>
        <w:trPr/>
        <w:tc>
          <w:tcPr>
            <w:tcW w:w="2000" w:type="dxa"/>
            <w:vAlign w:val="center"/>
            <w:gridSpan w:val="8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气体检测结果</w:t>
            </w:r>
          </w:p>
        </w:tc>
        <w:tc>
          <w:tcPr>
            <w:tcW w:w="1500" w:type="dxa"/>
            <w:vAlign w:val="center"/>
            <w:gridSpan w:val="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检测时间</w:t>
            </w:r>
          </w:p>
        </w:tc>
        <w:tc>
          <w:tcPr>
            <w:tcW w:w="1500" w:type="dxa"/>
            <w:vAlign w:val="center"/>
            <w:gridSpan w:val="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检测部位</w:t>
            </w:r>
          </w:p>
        </w:tc>
        <w:tc>
          <w:tcPr>
            <w:tcW w:w="125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可燃气体</w:t>
            </w:r>
          </w:p>
        </w:tc>
        <w:tc>
          <w:tcPr>
            <w:tcW w:w="125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氧气</w:t>
            </w:r>
          </w:p>
        </w:tc>
        <w:tc>
          <w:tcPr>
            <w:tcW w:w="125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有毒气体</w:t>
            </w:r>
          </w:p>
        </w:tc>
        <w:tc>
          <w:tcPr>
            <w:tcW w:w="125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检测人</w:t>
            </w:r>
          </w:p>
        </w:tc>
      </w:tr>
      <w:tr>
        <w:trPr/>
        <w:tc>
          <w:tcPr>
            <w:vAlign w:val="center"/>
            <w:gridSpan w:val="8"/>
            <w:vMerge w:val="continue"/>
          </w:tcPr>
          <w:p/>
        </w:tc>
        <w:tc>
          <w:tcPr>
            <w:tcW w:w="1500" w:type="dxa"/>
            <w:vAlign w:val="center"/>
            <w:gridSpan w:val="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2022-11-15 00:00</w:t>
            </w:r>
          </w:p>
        </w:tc>
        <w:tc>
          <w:tcPr>
            <w:tcW w:w="1500" w:type="dxa"/>
            <w:vAlign w:val="center"/>
            <w:gridSpan w:val="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666</w:t>
            </w:r>
          </w:p>
        </w:tc>
        <w:tc>
          <w:tcPr>
            <w:tcW w:w="125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10</w:t>
            </w:r>
          </w:p>
        </w:tc>
        <w:tc>
          <w:tcPr>
            <w:tcW w:w="125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20</w:t>
            </w:r>
          </w:p>
        </w:tc>
        <w:tc>
          <w:tcPr>
            <w:tcW w:w="125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14</w:t>
            </w:r>
          </w:p>
        </w:tc>
        <w:tc>
          <w:tcPr>
            <w:tcW w:w="125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赵帅</w:t>
            </w:r>
          </w:p>
        </w:tc>
      </w:tr>
      <w:tr>
        <w:trPr/>
        <w:tc>
          <w:tcPr>
            <w:tcW w:w="75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序号</w:t>
            </w:r>
          </w:p>
        </w:tc>
        <w:tc>
          <w:tcPr>
            <w:tcW w:w="4750" w:type="dxa"/>
            <w:vAlign w:val="center"/>
            <w:gridSpan w:val="19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主要安全措施</w:t>
            </w:r>
          </w:p>
        </w:tc>
        <w:tc>
          <w:tcPr>
            <w:tcW w:w="3250" w:type="dxa"/>
            <w:vAlign w:val="center"/>
            <w:gridSpan w:val="1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措施确认</w:t>
            </w:r>
          </w:p>
        </w:tc>
        <w:tc>
          <w:tcPr>
            <w:tcW w:w="125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监护人</w:t>
            </w:r>
          </w:p>
        </w:tc>
      </w:tr>
      <w:tr>
        <w:trPr/>
        <w:tc>
          <w:tcPr>
            <w:tcW w:w="75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1</w:t>
            </w:r>
          </w:p>
        </w:tc>
        <w:tc>
          <w:tcPr>
            <w:tcW w:w="4750" w:type="dxa"/>
            <w:vAlign w:val="center"/>
            <w:gridSpan w:val="19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设备内部构件清理干净，并清除周围易燃物、可燃物，达到动火条件。</w:t>
            </w:r>
          </w:p>
        </w:tc>
        <w:tc>
          <w:tcPr>
            <w:tcW w:w="3250" w:type="dxa"/>
            <w:vAlign w:val="center"/>
            <w:gridSpan w:val="1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☑符合 □不符合 □不涉及</w:t>
            </w:r>
          </w:p>
        </w:tc>
        <w:tc>
          <w:tcPr>
            <w:tcW w:w="1250" w:type="dxa"/>
            <w:vAlign w:val="center"/>
            <w:gridSpan w:val="5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梁军辉</w:t>
            </w:r>
          </w:p>
        </w:tc>
      </w:tr>
      <w:tr>
        <w:trPr/>
        <w:tc>
          <w:tcPr>
            <w:tcW w:w="75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2</w:t>
            </w:r>
          </w:p>
        </w:tc>
        <w:tc>
          <w:tcPr>
            <w:tcW w:w="4750" w:type="dxa"/>
            <w:vAlign w:val="center"/>
            <w:gridSpan w:val="19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动火点周围（最小半径15米）的下水井、地漏、地沟、电缆沟、管道等已清除易燃物，并已采取覆盖、铺砂、水封、盲板封堵等进行隔离。</w:t>
            </w:r>
          </w:p>
        </w:tc>
        <w:tc>
          <w:tcPr>
            <w:tcW w:w="3250" w:type="dxa"/>
            <w:vAlign w:val="center"/>
            <w:gridSpan w:val="1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☑符合 □不符合 □不涉及</w:t>
            </w:r>
          </w:p>
        </w:tc>
        <w:tc>
          <w:tcPr>
            <w:vAlign w:val="center"/>
            <w:gridSpan w:val="5"/>
            <w:vMerge w:val="continue"/>
          </w:tcPr>
          <w:p/>
        </w:tc>
      </w:tr>
      <w:tr>
        <w:trPr/>
        <w:tc>
          <w:tcPr>
            <w:tcW w:w="75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3</w:t>
            </w:r>
          </w:p>
        </w:tc>
        <w:tc>
          <w:tcPr>
            <w:tcW w:w="4750" w:type="dxa"/>
            <w:vAlign w:val="center"/>
            <w:gridSpan w:val="19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距动火点30米内无各类可燃气体排放，15米内无各类可燃液体排放；动火点10米范围内及动火点下部区域无可燃溶剂清洗和喷漆等作业。</w:t>
            </w:r>
          </w:p>
        </w:tc>
        <w:tc>
          <w:tcPr>
            <w:tcW w:w="3250" w:type="dxa"/>
            <w:vAlign w:val="center"/>
            <w:gridSpan w:val="1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☑符合 □不符合 □不涉及</w:t>
            </w:r>
          </w:p>
        </w:tc>
        <w:tc>
          <w:tcPr>
            <w:vAlign w:val="center"/>
            <w:gridSpan w:val="5"/>
            <w:vMerge w:val="continue"/>
          </w:tcPr>
          <w:p/>
        </w:tc>
      </w:tr>
      <w:tr>
        <w:trPr/>
        <w:tc>
          <w:tcPr>
            <w:tcW w:w="75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4</w:t>
            </w:r>
          </w:p>
        </w:tc>
        <w:tc>
          <w:tcPr>
            <w:tcW w:w="4750" w:type="dxa"/>
            <w:vAlign w:val="center"/>
            <w:gridSpan w:val="19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高处作业应采取防火花飞溅措施，做好防坠落、防物品掉落等保护措施。</w:t>
            </w:r>
          </w:p>
        </w:tc>
        <w:tc>
          <w:tcPr>
            <w:tcW w:w="3250" w:type="dxa"/>
            <w:vAlign w:val="center"/>
            <w:gridSpan w:val="1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☑符合 □不符合 □不涉及</w:t>
            </w:r>
          </w:p>
        </w:tc>
        <w:tc>
          <w:tcPr>
            <w:vAlign w:val="center"/>
            <w:gridSpan w:val="5"/>
            <w:vMerge w:val="continue"/>
          </w:tcPr>
          <w:p/>
        </w:tc>
      </w:tr>
      <w:tr>
        <w:trPr/>
        <w:tc>
          <w:tcPr>
            <w:tcW w:w="75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5</w:t>
            </w:r>
          </w:p>
        </w:tc>
        <w:tc>
          <w:tcPr>
            <w:tcW w:w="4750" w:type="dxa"/>
            <w:vAlign w:val="center"/>
            <w:gridSpan w:val="19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电焊回路线应接在焊接件上，把线不得穿过下水井或与其他设备搭接。</w:t>
            </w:r>
          </w:p>
        </w:tc>
        <w:tc>
          <w:tcPr>
            <w:tcW w:w="3250" w:type="dxa"/>
            <w:vAlign w:val="center"/>
            <w:gridSpan w:val="1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☑符合 □不符合 □不涉及</w:t>
            </w:r>
          </w:p>
        </w:tc>
        <w:tc>
          <w:tcPr>
            <w:vAlign w:val="center"/>
            <w:gridSpan w:val="5"/>
            <w:vMerge w:val="continue"/>
          </w:tcPr>
          <w:p/>
        </w:tc>
      </w:tr>
      <w:tr>
        <w:trPr/>
        <w:tc>
          <w:tcPr>
            <w:tcW w:w="75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6</w:t>
            </w:r>
          </w:p>
        </w:tc>
        <w:tc>
          <w:tcPr>
            <w:tcW w:w="4750" w:type="dxa"/>
            <w:vAlign w:val="center"/>
            <w:gridSpan w:val="19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气瓶安全设施完好，配置防倾倒措施；乙炔瓶直立放置，氧气瓶与乙炔气瓶间距≥5米，二者与动火点、明火或其他热源间距≥10米。</w:t>
            </w:r>
          </w:p>
        </w:tc>
        <w:tc>
          <w:tcPr>
            <w:tcW w:w="3250" w:type="dxa"/>
            <w:vAlign w:val="center"/>
            <w:gridSpan w:val="1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☑符合 □不符合 □不涉及</w:t>
            </w:r>
          </w:p>
        </w:tc>
        <w:tc>
          <w:tcPr>
            <w:vAlign w:val="center"/>
            <w:gridSpan w:val="5"/>
            <w:vMerge w:val="continue"/>
          </w:tcPr>
          <w:p/>
        </w:tc>
      </w:tr>
      <w:tr>
        <w:trPr/>
        <w:tc>
          <w:tcPr>
            <w:tcW w:w="75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7</w:t>
            </w:r>
          </w:p>
        </w:tc>
        <w:tc>
          <w:tcPr>
            <w:tcW w:w="4750" w:type="dxa"/>
            <w:vAlign w:val="center"/>
            <w:gridSpan w:val="19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动火作业人员正确佩戴符合标准的劳动防护用品。</w:t>
            </w:r>
          </w:p>
        </w:tc>
        <w:tc>
          <w:tcPr>
            <w:tcW w:w="3250" w:type="dxa"/>
            <w:vAlign w:val="center"/>
            <w:gridSpan w:val="1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☑符合 □不符合 □不涉及</w:t>
            </w:r>
          </w:p>
        </w:tc>
        <w:tc>
          <w:tcPr>
            <w:vAlign w:val="center"/>
            <w:gridSpan w:val="5"/>
            <w:vMerge w:val="continue"/>
          </w:tcPr>
          <w:p/>
        </w:tc>
      </w:tr>
      <w:tr>
        <w:trPr/>
        <w:tc>
          <w:tcPr>
            <w:tcW w:w="75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8</w:t>
            </w:r>
          </w:p>
        </w:tc>
        <w:tc>
          <w:tcPr>
            <w:tcW w:w="4750" w:type="dxa"/>
            <w:vAlign w:val="center"/>
            <w:gridSpan w:val="19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动火作业相关的设备、工器具均合规有效。</w:t>
            </w:r>
          </w:p>
        </w:tc>
        <w:tc>
          <w:tcPr>
            <w:tcW w:w="3250" w:type="dxa"/>
            <w:vAlign w:val="center"/>
            <w:gridSpan w:val="1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☑符合 □不符合 □不涉及</w:t>
            </w:r>
          </w:p>
        </w:tc>
        <w:tc>
          <w:tcPr>
            <w:vAlign w:val="center"/>
            <w:gridSpan w:val="5"/>
            <w:vMerge w:val="continue"/>
          </w:tcPr>
          <w:p/>
        </w:tc>
      </w:tr>
      <w:tr>
        <w:trPr/>
        <w:tc>
          <w:tcPr>
            <w:tcW w:w="75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9</w:t>
            </w:r>
          </w:p>
        </w:tc>
        <w:tc>
          <w:tcPr>
            <w:tcW w:w="4750" w:type="dxa"/>
            <w:vAlign w:val="center"/>
            <w:gridSpan w:val="19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断开与动火设备相连接的所有管线，加装相应数量盲板。</w:t>
            </w:r>
          </w:p>
        </w:tc>
        <w:tc>
          <w:tcPr>
            <w:tcW w:w="3250" w:type="dxa"/>
            <w:vAlign w:val="center"/>
            <w:gridSpan w:val="1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☑符合 □不符合 □不涉及</w:t>
            </w:r>
          </w:p>
        </w:tc>
        <w:tc>
          <w:tcPr>
            <w:vAlign w:val="center"/>
            <w:gridSpan w:val="5"/>
            <w:vMerge w:val="continue"/>
          </w:tcPr>
          <w:p/>
        </w:tc>
      </w:tr>
      <w:tr>
        <w:trPr/>
        <w:tc>
          <w:tcPr>
            <w:tcW w:w="75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10</w:t>
            </w:r>
          </w:p>
        </w:tc>
        <w:tc>
          <w:tcPr>
            <w:tcW w:w="4750" w:type="dxa"/>
            <w:vAlign w:val="center"/>
            <w:gridSpan w:val="19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现场配备充足的灭火器、防火毯等消防灭火器材。</w:t>
            </w:r>
          </w:p>
        </w:tc>
        <w:tc>
          <w:tcPr>
            <w:tcW w:w="3250" w:type="dxa"/>
            <w:vAlign w:val="center"/>
            <w:gridSpan w:val="1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☑符合 □不符合 □不涉及</w:t>
            </w:r>
          </w:p>
        </w:tc>
        <w:tc>
          <w:tcPr>
            <w:vAlign w:val="center"/>
            <w:gridSpan w:val="5"/>
            <w:vMerge w:val="continue"/>
          </w:tcPr>
          <w:p/>
        </w:tc>
      </w:tr>
      <w:tr>
        <w:trPr/>
        <w:tc>
          <w:tcPr>
            <w:tcW w:w="75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11</w:t>
            </w:r>
          </w:p>
        </w:tc>
        <w:tc>
          <w:tcPr>
            <w:tcW w:w="4750" w:type="dxa"/>
            <w:vAlign w:val="center"/>
            <w:gridSpan w:val="19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其它补充措施：</w:t>
            </w:r>
          </w:p>
        </w:tc>
        <w:tc>
          <w:tcPr>
            <w:tcW w:w="3250" w:type="dxa"/>
            <w:vAlign w:val="center"/>
            <w:gridSpan w:val="1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□符合 □不符合 ☑不涉及</w:t>
            </w:r>
          </w:p>
        </w:tc>
        <w:tc>
          <w:tcPr>
            <w:vAlign w:val="center"/>
            <w:gridSpan w:val="5"/>
            <w:vMerge w:val="continue"/>
          </w:tcPr>
          <w:p/>
        </w:tc>
      </w:tr>
      <w:tr>
        <w:trPr/>
        <w:tc>
          <w:tcPr>
            <w:tcW w:w="10000" w:type="dxa"/>
            <w:vAlign w:val="center"/>
            <w:gridSpan w:val="40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作业人员：已经培训合格、已正确佩戴劳动防护用品、现场符合作业条件。</w:t>
            </w:r>
          </w:p>
          <w:p>
            <w:pPr>
              <w:jc w:val="end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签字：</w: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pict>
                <v:shape type="#_x0000_t75" stroked="f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>
            <w:tcW w:w="10000" w:type="dxa"/>
            <w:vAlign w:val="center"/>
            <w:gridSpan w:val="40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作业单位/部门意见：☑同意 □不同意             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签字：</w:t>
            </w:r>
            <w:r>
              <w:pict>
                <v:shape type="#_x0000_t75" stroked="f" style="width:66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11月15日11时26分</w:t>
            </w:r>
          </w:p>
        </w:tc>
      </w:tr>
      <w:tr>
        <w:trPr/>
        <w:tc>
          <w:tcPr>
            <w:tcW w:w="10000" w:type="dxa"/>
            <w:vAlign w:val="center"/>
            <w:gridSpan w:val="40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作业主管部门意见：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□同意 □不同意              签字：               月   日   时   分</w:t>
            </w:r>
          </w:p>
        </w:tc>
      </w:tr>
      <w:tr>
        <w:trPr/>
        <w:tc>
          <w:tcPr>
            <w:tcW w:w="10000" w:type="dxa"/>
            <w:vAlign w:val="center"/>
            <w:gridSpan w:val="40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作业区域所属部门意见：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□同意 □不同意          签字：               月   日   时   分</w:t>
            </w:r>
          </w:p>
        </w:tc>
      </w:tr>
      <w:tr>
        <w:trPr/>
        <w:tc>
          <w:tcPr>
            <w:tcW w:w="10000" w:type="dxa"/>
            <w:vAlign w:val="center"/>
            <w:gridSpan w:val="40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安全管理部门意见：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□同意 □不同意              签字：               月   日   时   分</w:t>
            </w:r>
          </w:p>
        </w:tc>
      </w:tr>
      <w:tr>
        <w:trPr/>
        <w:tc>
          <w:tcPr>
            <w:tcW w:w="10000" w:type="dxa"/>
            <w:vAlign w:val="center"/>
            <w:gridSpan w:val="40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安全分管领导意见（特级动火）：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□同意 □不同意  签字：               月   日   时   分</w:t>
            </w:r>
          </w:p>
        </w:tc>
      </w:tr>
      <w:tr>
        <w:trPr/>
        <w:tc>
          <w:tcPr>
            <w:tcW w:w="10000" w:type="dxa"/>
            <w:vAlign w:val="center"/>
            <w:gridSpan w:val="40"/>
          </w:tcPr>
          <w:p>
            <w:pPr/>
            <w:r>
              <w:rPr>
                <w:rFonts w:ascii="宋体" w:hAnsi="宋体" w:eastAsia="宋体" w:cs="宋体"/>
                <w:sz w:val="21"/>
                <w:szCs w:val="21"/>
              </w:rPr>
              <w:t xml:space="preserve">完工验收确认                                   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签字：               月   日   时   分</w:t>
            </w:r>
          </w:p>
        </w:tc>
      </w:tr>
    </w:tbl>
    <w:p>
      <w:pPr/>
      <w:r>
        <w:rPr>
          <w:rFonts w:ascii="宋体" w:hAnsi="宋体" w:eastAsia="宋体" w:cs="宋体"/>
          <w:sz w:val="18"/>
          <w:szCs w:val="18"/>
        </w:rPr>
        <w:t xml:space="preserve">备注：二级动火需经专职安全管理人员审批，一级动火需经安全管理部门负责人审批。</w:t>
      </w:r>
    </w:p>
    <w:p>
      <w:pPr/>
      <w:r>
        <w:rPr>
          <w:rFonts w:ascii="宋体" w:hAnsi="宋体" w:eastAsia="宋体" w:cs="宋体"/>
          <w:sz w:val="21"/>
          <w:szCs w:val="21"/>
        </w:rPr>
        <w:t xml:space="preserve">参考文件：010-GD-62《特殊作业安全管理规定》                                   版本：6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宋体" w:hAnsi="宋体" w:eastAsia="宋体" w:cs="宋体"/>
      <w:sz w:val="28"/>
      <w:szCs w:val="28"/>
      <w:b w:val="1"/>
      <w:bCs w:val="1"/>
    </w:rPr>
  </w:style>
  <w:style w:type="table" w:customStyle="1" w:styleId="table style">
    <w:name w:val="table sty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2022-11-15T13:59:40+08:00</dcterms:created>
  <dcterms:modified xsi:type="dcterms:W3CDTF">2022-11-15T13:59:40+08:00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