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2020-09-3457-PF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SELESTAT LITERIE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14 rue de l'Industrie </w:t>
            </w:r>
            <w:br/>
            <w:r>
              <w:rPr/>
              <w:t xml:space="preserve">67600 SÉLESTAT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03 90 58 66 44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franceliterie-selestat@orange.fr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8339504200016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Grand Est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COMMERCIAL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HAMLAT Etienne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2020-09-10T11:40:15+00:00</dcterms:created>
  <dcterms:modified xsi:type="dcterms:W3CDTF">2020-09-10T11:40:15+00:00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