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El HAFIDI 19eme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20 RUE DU MAROC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75019 PARIS 19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Merlateau Xavier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WORD & EXCEL INITIATION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47 rue Vivienne 75002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02-06-2021 au 11-06-2021</w:t></w:r><w:r w:rsidR="00A970AC"><w:rPr><w:rFonts w:ascii="Calibri" w:eastAsia="Calibri" w:hAnsi="Calibri" w:cs="Calibri"/><w:b/></w:rPr><w:br/></w:r><w:r><w:t>2,3,4,9,10,11 Juin 2021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6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42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2 100,00 €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420,00 €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2 520,00 €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