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SGB Construction</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16 Place de la Fraternité</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93100 MONTREUIL</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02 Février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SST</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Acquérir les connaissances de bases en matière de prévention et de secourisme pour protéger ou secourir toute personne au sein de l’entreprise.
Être capable d’intervenir sur un lieu d’accident, de secourir la victime et préparer l’arrivée des secours.
Se préparer à la compétence de Sauveteur Secourisme du Travail.</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 personnes</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aucun</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14</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 Paris</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11-02-2021 au 12-02-2021</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500,00 €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600,00 €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