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SNEAKERS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54, rue Guy Moquet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75017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02 Mars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SST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Savoir intervenir face à une situation d'accident de travail.
Savoir utiliser ses compétences de SST au service de la prévent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SALARIE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 prérequis nécessaire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14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