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ATRIUM PROTECTION 94</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12 AV MAURICE THOREZ</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94200 Ivry /Seine</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05 Mars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Acquérir les connaissances de bases en matière de prévention et de secourisme pour protéger ou secourir toute personne au sein de l’entreprise.
Être capable d’intervenir sur un lieu d’accident, de secourir la victime et préparer l’arrivée des secours.
Se préparer à la compétence de Sauveteur Secourisme du Travail.</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Serge GNALY</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Aucun</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25-03-2021 au 26-03-2021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240,00 €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