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LUSSEAU Nicolas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14 Rue des Barres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28150 </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02 Avril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3</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Diriger le service de sécurité en appliquant la réglementation des établissements recevant du public (ERP) et des immeubles de grandes hauteurs (IGH).
Intervenir dans la gestion des risques quotidiens et lors de travaux.
Vérifier la validité et amender un projet de construction, d'aménagement ou de réaménagement vis-à-vis de la réglementation incendie.
Assurer la correspondance avec les commissions de sécurité.</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Nicolas LUSSEAU</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Avoir un SST ou PSC1 à jour
Avoir un SSIAP 1 ou SSIAP2
Avoir un niveau BAC</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30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210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02-11-2021 au 22-12-2021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2 458,33 €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2 950,00 €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