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ADDOMME</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26 Rue Notre Dame de Nazareth</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75003 PARIS 3</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07 Mai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GESTION DU TEMPS</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Utiliser son temps en fonction de ses priorités.
Anticiper et planifier ses activités en se centrant sur l'essentiel.
Mettre en place une organisation personnelle efficace au quotidien.
Utiliser avec pertinence les outils de communication et d’organisation.
Agir sur le temps relationnel pour gagner du temps collectivement.
Gérer son énergie personnelle pour optimiser son efficacité dans le temps.</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Maxime raffa</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aucun</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28</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15-06-2021 au 18-06-2021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2 240,00 €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2 688,00 €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