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PREFECTURE DE PARIS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 PARIS</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21 Juillet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SSIAP 1 est l'acquisition des connaissances nécessaires pour assurer la sécurité des biens et des personnes dans les établissements recevant du public (ERP) et dans les immeubles de grande hauteur (IGH)La formation est constituée d'un ensemble d'actions visant à :Sensibiliser les employés aux risques et aux dangers du feu. Effectuer les premières interventions en cas d'incendie. Alerter et organiser l'évacuation du public en cas de risque ou de sinistre. Prévoir l'accueil des secours. Assurer l'entretien des moyens de secours sur le site durant l'année</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BENSALAH MOUSSA</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Respect des dispositions de l'article 4 §1 de l'arrêté du 02 mai 2005 dont par exemple : Soit AFPS ou PSC1 acquis depuis moins de 2 ans soit CFAPSE, PSE1 ou SST en cours de validité Évaluation de la capacité à retranscrire des anomalies sur une main courante Aptitude médicale</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21-06-2021 au 02-07-2021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840,00 €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