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FRANCE LITERIE EXPANSION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10A RUE DENIS PAPIN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68000 COLMAR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LES FONDAMENTAUX DU SEO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06/09/2021 au 31/12/2021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23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15 680,00 €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18 816,00 €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18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15 680,00 €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3136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18 816,00 €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