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6BE99AD" w14:textId="20462281" w:rsidR="005F4C7D" w:rsidRDefault="0013622C" w:rsidP="0013622C">
      <w:pPr>
        <w:pStyle w:val="Title"/>
      </w:pPr>
      <w:r>
        <w:t>Understanding Architecture Review Diagrams</w:t>
      </w:r>
    </w:p>
    <w:p w14:paraId="66D6E291" w14:textId="5CBEBD59" w:rsidR="001F1D59" w:rsidRDefault="001F1D59" w:rsidP="001F1D59"/>
    <w:p w14:paraId="1C72F605" w14:textId="0E82BA71" w:rsidR="001F1D59" w:rsidRDefault="001F1D59" w:rsidP="001F1D59">
      <w:r>
        <w:t xml:space="preserve">The goal behind the use of architectural diagrams is to provide </w:t>
      </w:r>
      <w:r w:rsidR="00E34F2B">
        <w:t xml:space="preserve">detail around the registered technology provider’s </w:t>
      </w:r>
      <w:r w:rsidR="003957C4">
        <w:t xml:space="preserve">product’s support for security services. </w:t>
      </w:r>
      <w:r w:rsidR="004F2646">
        <w:t xml:space="preserve">This focus is novel in the area of architectural analysis, but aspects from existing notations </w:t>
      </w:r>
      <w:r w:rsidR="00A40F41">
        <w:t xml:space="preserve">taken together provide the necessary expressiveness. This document describes </w:t>
      </w:r>
      <w:r w:rsidR="00753BA8">
        <w:t>the RABET-V diagram notation.</w:t>
      </w:r>
    </w:p>
    <w:p w14:paraId="6586514D" w14:textId="1005A5BF" w:rsidR="00A458FF" w:rsidRDefault="00A458FF" w:rsidP="00A458FF">
      <w:pPr>
        <w:pStyle w:val="Heading2"/>
      </w:pPr>
      <w:r>
        <w:t>Diagram exp</w:t>
      </w:r>
      <w:r w:rsidR="00BA2FA7">
        <w:t>lanation</w:t>
      </w:r>
    </w:p>
    <w:p w14:paraId="43B44BA8" w14:textId="53F60305" w:rsidR="000173E3" w:rsidRPr="000173E3" w:rsidRDefault="000173E3" w:rsidP="000173E3">
      <w:r>
        <w:rPr>
          <w:noProof/>
        </w:rPr>
        <w:drawing>
          <wp:inline distT="0" distB="0" distL="0" distR="0" wp14:anchorId="1FDECC15" wp14:editId="1FB6BD6E">
            <wp:extent cx="5782347" cy="2978785"/>
            <wp:effectExtent l="0" t="0" r="8890" b="0"/>
            <wp:docPr id="1" name="Picture 1">
              <a:extLst xmlns:a="http://purl.oclc.org/ooxml/drawingml/main">
                <a:ext uri="{C183D7F6-B498-43B3-948B-1728B52AA6E4}">
                  <adec:decorative xmlns:adec="http://schemas.microsoft.com/office/drawing/2017/decorative" val="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explainer.p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82347" cy="2978785"/>
                    </a:xfrm>
                    <a:prstGeom prst="rect">
                      <a:avLst/>
                    </a:prstGeom>
                  </pic:spPr>
                </pic:pic>
              </a:graphicData>
            </a:graphic>
          </wp:inline>
        </w:drawing>
      </w:r>
    </w:p>
    <w:p w14:paraId="1565D9F4" w14:textId="77777777" w:rsidR="0024766C" w:rsidRDefault="00013069">
      <w:r>
        <w:t xml:space="preserve">The following contrived example demonstrates the primary subset of </w:t>
      </w:r>
      <w:hyperlink r:id="rId10" w:history="1">
        <w:r w:rsidRPr="00782673">
          <w:rPr>
            <w:rStyle w:val="Hyperlink"/>
          </w:rPr>
          <w:t>UML concepts</w:t>
        </w:r>
      </w:hyperlink>
      <w:r>
        <w:t xml:space="preserve"> used in RABET-V Component Diagrams. The key </w:t>
      </w:r>
      <w:r w:rsidR="00C15698">
        <w:t>concept</w:t>
      </w:r>
      <w:r>
        <w:t xml:space="preserve"> is that of a </w:t>
      </w:r>
      <w:r w:rsidRPr="00970283">
        <w:rPr>
          <w:b/>
          <w:bCs/>
        </w:rPr>
        <w:t>component</w:t>
      </w:r>
      <w:r>
        <w:rPr>
          <w:i/>
          <w:iCs/>
        </w:rPr>
        <w:t>.</w:t>
      </w:r>
      <w:r>
        <w:t xml:space="preserve"> Components are used to describe those of the </w:t>
      </w:r>
      <w:r w:rsidRPr="00782673">
        <w:rPr>
          <w:i/>
          <w:iCs/>
        </w:rPr>
        <w:t>registered technology provider</w:t>
      </w:r>
      <w:r>
        <w:t>, third party components providing security services, and the environment in which those components operate (e.g. trust zones).</w:t>
      </w:r>
      <w:r w:rsidR="0024766C">
        <w:t xml:space="preserve"> </w:t>
      </w:r>
    </w:p>
    <w:p w14:paraId="551712AF" w14:textId="67D9E123" w:rsidR="00013069" w:rsidRDefault="0024766C">
      <w:r>
        <w:t xml:space="preserve">Different </w:t>
      </w:r>
      <w:hyperlink r:id="rId11" w:history="1">
        <w:r w:rsidRPr="00970283">
          <w:rPr>
            <w:rStyle w:val="Hyperlink"/>
          </w:rPr>
          <w:t>stereotypes</w:t>
        </w:r>
      </w:hyperlink>
      <w:r>
        <w:t xml:space="preserve"> are used to distinguish these uses. </w:t>
      </w:r>
      <w:r w:rsidR="00013069">
        <w:t xml:space="preserve">If a component is contained within a </w:t>
      </w:r>
      <w:r w:rsidR="00013069" w:rsidRPr="00970283">
        <w:rPr>
          <w:b/>
          <w:bCs/>
        </w:rPr>
        <w:t xml:space="preserve">trust </w:t>
      </w:r>
      <w:r w:rsidR="000D5B5E" w:rsidRPr="00970283">
        <w:rPr>
          <w:b/>
          <w:bCs/>
        </w:rPr>
        <w:t>zone</w:t>
      </w:r>
      <w:r w:rsidR="000D5B5E">
        <w:t xml:space="preserve"> (notated with</w:t>
      </w:r>
      <w:r w:rsidR="00162A74">
        <w:t xml:space="preserve"> a</w:t>
      </w:r>
      <w:r w:rsidR="000D5B5E">
        <w:t xml:space="preserve"> </w:t>
      </w:r>
      <w:hyperlink r:id="rId12" w:history="1">
        <w:r w:rsidR="00162A74" w:rsidRPr="00162A74">
          <w:rPr>
            <w:rStyle w:val="Hyperlink"/>
          </w:rPr>
          <w:t>«SecurityEnclave»</w:t>
        </w:r>
      </w:hyperlink>
      <w:r w:rsidR="00162A74">
        <w:t xml:space="preserve"> stereotype</w:t>
      </w:r>
      <w:r w:rsidR="0071711C" w:rsidRPr="0071711C">
        <w:t>)</w:t>
      </w:r>
      <w:r w:rsidR="00013069" w:rsidRPr="0071711C">
        <w:t>,</w:t>
      </w:r>
      <w:r w:rsidR="00013069">
        <w:t xml:space="preserve"> then its functionality must be exposed explicitly using </w:t>
      </w:r>
      <w:r w:rsidR="00013069" w:rsidRPr="00162A74">
        <w:rPr>
          <w:b/>
          <w:bCs/>
        </w:rPr>
        <w:t>ports</w:t>
      </w:r>
      <w:r w:rsidR="00013069">
        <w:t>. These ports</w:t>
      </w:r>
      <w:r w:rsidR="00162A74">
        <w:t xml:space="preserve"> (notated as boxes on the boundaries of a component)</w:t>
      </w:r>
      <w:r w:rsidR="00013069">
        <w:t xml:space="preserve"> can expose </w:t>
      </w:r>
      <w:r w:rsidR="00DD26B5">
        <w:t xml:space="preserve">functionality within </w:t>
      </w:r>
      <w:r w:rsidR="00950C5D">
        <w:t>all</w:t>
      </w:r>
      <w:r w:rsidR="00DD26B5">
        <w:t xml:space="preserve"> sub</w:t>
      </w:r>
      <w:r w:rsidR="00013069">
        <w:t xml:space="preserve">components, or a subset, and can be </w:t>
      </w:r>
      <w:r w:rsidR="000B4213">
        <w:t>traced</w:t>
      </w:r>
      <w:r w:rsidR="00013069">
        <w:t xml:space="preserve"> to </w:t>
      </w:r>
      <w:proofErr w:type="gramStart"/>
      <w:r w:rsidR="00013069">
        <w:t>particular parts</w:t>
      </w:r>
      <w:proofErr w:type="gramEnd"/>
      <w:r w:rsidR="00013069">
        <w:t xml:space="preserve"> of a component as well.</w:t>
      </w:r>
    </w:p>
    <w:p w14:paraId="16E16D0D" w14:textId="337F3F7C" w:rsidR="00013069" w:rsidRDefault="00013069">
      <w:r>
        <w:t>Each port may have interfaces</w:t>
      </w:r>
      <w:r w:rsidR="006329D0">
        <w:t xml:space="preserve"> </w:t>
      </w:r>
      <w:r>
        <w:t xml:space="preserve">that are either </w:t>
      </w:r>
      <w:r w:rsidRPr="00013069">
        <w:rPr>
          <w:i/>
          <w:iCs/>
        </w:rPr>
        <w:t>required</w:t>
      </w:r>
      <w:r>
        <w:t xml:space="preserve"> </w:t>
      </w:r>
      <w:r w:rsidR="00012E77">
        <w:t xml:space="preserve">(notated as a half circle) </w:t>
      </w:r>
      <w:r>
        <w:t xml:space="preserve">to support a function, or </w:t>
      </w:r>
      <w:r w:rsidRPr="00013069">
        <w:rPr>
          <w:i/>
          <w:iCs/>
        </w:rPr>
        <w:t>provided</w:t>
      </w:r>
      <w:r>
        <w:t xml:space="preserve"> </w:t>
      </w:r>
      <w:r w:rsidR="00580858">
        <w:t xml:space="preserve">(notated as a full circle, or “lollipop”) </w:t>
      </w:r>
      <w:r>
        <w:t>to support another component</w:t>
      </w:r>
      <w:r w:rsidR="000B4213">
        <w:t>’s function</w:t>
      </w:r>
      <w:r>
        <w:t xml:space="preserve">. For example, </w:t>
      </w:r>
      <w:r w:rsidR="00522443">
        <w:t>an</w:t>
      </w:r>
      <w:r>
        <w:t xml:space="preserve"> Election Reports Reporting</w:t>
      </w:r>
      <w:r w:rsidR="00343EA2">
        <w:t xml:space="preserve"> system may expose a</w:t>
      </w:r>
      <w:r w:rsidR="00080142">
        <w:t>n</w:t>
      </w:r>
      <w:r w:rsidR="00343EA2">
        <w:t xml:space="preserve"> </w:t>
      </w:r>
      <w:r w:rsidR="00343EA2">
        <w:rPr>
          <w:i/>
          <w:iCs/>
        </w:rPr>
        <w:t>upload</w:t>
      </w:r>
      <w:r>
        <w:t xml:space="preserve"> </w:t>
      </w:r>
      <w:r w:rsidRPr="00555136">
        <w:rPr>
          <w:i/>
          <w:iCs/>
        </w:rPr>
        <w:t>frontend</w:t>
      </w:r>
      <w:r>
        <w:t xml:space="preserve"> a</w:t>
      </w:r>
      <w:r w:rsidR="00343EA2">
        <w:t>s a</w:t>
      </w:r>
      <w:r>
        <w:t xml:space="preserve"> port on a Cloud </w:t>
      </w:r>
      <w:r w:rsidR="00580858">
        <w:t>Service</w:t>
      </w:r>
      <w:r>
        <w:t xml:space="preserve">. The </w:t>
      </w:r>
      <w:r w:rsidR="00950C5D">
        <w:rPr>
          <w:i/>
          <w:iCs/>
        </w:rPr>
        <w:t>upload f</w:t>
      </w:r>
      <w:r w:rsidRPr="00555136">
        <w:rPr>
          <w:i/>
          <w:iCs/>
        </w:rPr>
        <w:t>rontend</w:t>
      </w:r>
      <w:r>
        <w:t xml:space="preserve"> is the provided interface. However, to </w:t>
      </w:r>
      <w:proofErr w:type="gramStart"/>
      <w:r>
        <w:t>actually produce</w:t>
      </w:r>
      <w:proofErr w:type="gramEnd"/>
      <w:r>
        <w:t xml:space="preserve"> results, the port’s component relies on another, the Cloud Database. </w:t>
      </w:r>
      <w:r w:rsidR="00522443">
        <w:t>Thus,</w:t>
      </w:r>
      <w:r>
        <w:t xml:space="preserve"> a port succinctly describes both the provided functionality, the means over which it is provided, and all components it depends on to support it.</w:t>
      </w:r>
    </w:p>
    <w:p w14:paraId="45A7D487" w14:textId="77777777" w:rsidR="00753BA8" w:rsidRDefault="00753BA8" w:rsidP="00753BA8">
      <w:pPr>
        <w:pStyle w:val="Heading2"/>
      </w:pPr>
      <w:r>
        <w:lastRenderedPageBreak/>
        <w:t>Purpose of subsystems</w:t>
      </w:r>
    </w:p>
    <w:p w14:paraId="529119C8" w14:textId="77777777" w:rsidR="00753BA8" w:rsidRDefault="00753BA8" w:rsidP="00753BA8">
      <w:r>
        <w:t>Many election technology products are complex “system of systems”. These smaller “subsystems” may use different technology stacks that do not interoperate at all levels. This is particularly true of software stacks, where it is understood that a library for the Ruby on Rails platform will not work with one designed for Microsoft’s ASP.NET.</w:t>
      </w:r>
    </w:p>
    <w:p w14:paraId="2396E639" w14:textId="77777777" w:rsidR="00753BA8" w:rsidRDefault="00753BA8" w:rsidP="00753BA8">
      <w:r>
        <w:t xml:space="preserve">A subsystem is a grouping of components identified from the threat modeling exercise and other architectural artifacts. </w:t>
      </w:r>
    </w:p>
    <w:p w14:paraId="03A84525" w14:textId="38CAD4F5" w:rsidR="00013069" w:rsidRDefault="00013069" w:rsidP="00BE3E3F">
      <w:pPr>
        <w:pStyle w:val="Heading2"/>
      </w:pPr>
      <w:r w:rsidRPr="00FE68B1">
        <w:t>Security services</w:t>
      </w:r>
    </w:p>
    <w:p w14:paraId="0ECB4E73" w14:textId="0000627C" w:rsidR="00FE68B1" w:rsidRDefault="00FE68B1">
      <w:r>
        <w:t>Security services</w:t>
      </w:r>
      <w:r w:rsidR="00080C95">
        <w:t xml:space="preserve"> (notated </w:t>
      </w:r>
      <w:r w:rsidR="00080C95" w:rsidRPr="00080C95">
        <w:t>«</w:t>
      </w:r>
      <w:r w:rsidR="00080C95">
        <w:t>SecurityService</w:t>
      </w:r>
      <w:r w:rsidR="00080C95" w:rsidRPr="00080C95">
        <w:t>»</w:t>
      </w:r>
      <w:r w:rsidR="00080C95">
        <w:t>)</w:t>
      </w:r>
      <w:r>
        <w:t xml:space="preserve"> are considered components as well</w:t>
      </w:r>
      <w:r w:rsidR="00093FB7">
        <w:t xml:space="preserve"> and </w:t>
      </w:r>
      <w:r>
        <w:t>are</w:t>
      </w:r>
      <w:r w:rsidR="00093FB7">
        <w:t xml:space="preserve"> usually</w:t>
      </w:r>
      <w:r>
        <w:t xml:space="preserve"> provided by a </w:t>
      </w:r>
      <w:r w:rsidR="00080C95">
        <w:t xml:space="preserve">third party (notated </w:t>
      </w:r>
      <w:r w:rsidR="00080C95" w:rsidRPr="00080C95">
        <w:t>«ThirdParty»</w:t>
      </w:r>
      <w:r w:rsidR="00080C95">
        <w:t>)</w:t>
      </w:r>
      <w:r>
        <w:t>. In the initial iteration of RABET-V</w:t>
      </w:r>
      <w:r w:rsidR="00080142">
        <w:t xml:space="preserve"> diagrams</w:t>
      </w:r>
      <w:r>
        <w:t xml:space="preserve">, all security services appear outside </w:t>
      </w:r>
      <w:r w:rsidR="00080C95">
        <w:t>any</w:t>
      </w:r>
      <w:r>
        <w:t xml:space="preserve"> trust </w:t>
      </w:r>
      <w:r w:rsidR="00080C95">
        <w:t>boundaries</w:t>
      </w:r>
      <w:r>
        <w:t>. This is to provide space in the diagram</w:t>
      </w:r>
      <w:r w:rsidR="0093040C">
        <w:t>s</w:t>
      </w:r>
      <w:r w:rsidR="00080142">
        <w:t>;</w:t>
      </w:r>
      <w:r>
        <w:t xml:space="preserve"> these services may or may not reside within a particular trust boundary or component. </w:t>
      </w:r>
    </w:p>
    <w:p w14:paraId="2E9E407C" w14:textId="1241AB48" w:rsidR="00FE68B1" w:rsidRDefault="00FE68B1">
      <w:r>
        <w:t xml:space="preserve">Each security service may provide one or more services at a </w:t>
      </w:r>
      <w:r w:rsidRPr="00080142">
        <w:rPr>
          <w:b/>
          <w:bCs/>
        </w:rPr>
        <w:t>point of use</w:t>
      </w:r>
      <w:r>
        <w:t xml:space="preserve">. </w:t>
      </w:r>
      <w:r w:rsidR="009B4C93">
        <w:t xml:space="preserve">This is indicated by the </w:t>
      </w:r>
      <w:r w:rsidR="00005D59">
        <w:t xml:space="preserve">application </w:t>
      </w:r>
      <w:r w:rsidR="009B4C93">
        <w:t xml:space="preserve">of </w:t>
      </w:r>
      <w:r w:rsidR="00756E1D">
        <w:t xml:space="preserve">a dependency (an arrow point from the security service to the protected element) with a </w:t>
      </w:r>
      <w:r w:rsidR="009B4C93" w:rsidRPr="009B4C93">
        <w:t>«</w:t>
      </w:r>
      <w:r w:rsidR="009B4C93">
        <w:t>protect</w:t>
      </w:r>
      <w:r w:rsidR="009B4C93" w:rsidRPr="009B4C93">
        <w:t>»</w:t>
      </w:r>
      <w:r w:rsidR="009B4C93">
        <w:t xml:space="preserve"> stereotype.</w:t>
      </w:r>
      <w:r w:rsidR="005C51BE">
        <w:t xml:space="preserve"> A security service may </w:t>
      </w:r>
      <w:r w:rsidR="005C51BE" w:rsidRPr="00005D59">
        <w:rPr>
          <w:i/>
          <w:iCs/>
        </w:rPr>
        <w:t>protect</w:t>
      </w:r>
      <w:r w:rsidR="005C51BE">
        <w:t xml:space="preserve"> </w:t>
      </w:r>
      <w:r w:rsidR="008373C9">
        <w:t>different</w:t>
      </w:r>
      <w:r w:rsidR="005C51BE">
        <w:t xml:space="preserve"> component</w:t>
      </w:r>
      <w:r w:rsidR="008373C9">
        <w:t>s</w:t>
      </w:r>
      <w:r w:rsidR="005C51BE">
        <w:t xml:space="preserve"> at various points</w:t>
      </w:r>
      <w:r w:rsidR="00756E1D">
        <w:t xml:space="preserve"> in the architecture</w:t>
      </w:r>
      <w:r w:rsidR="005C51BE">
        <w:t xml:space="preserve">. </w:t>
      </w:r>
    </w:p>
    <w:p w14:paraId="5B1DEBEE" w14:textId="27D9554A" w:rsidR="00606E1D" w:rsidRDefault="00606E1D">
      <w:r>
        <w:rPr>
          <w:noProof/>
        </w:rPr>
        <w:drawing>
          <wp:inline distT="0" distB="0" distL="0" distR="0" wp14:anchorId="57A9C283" wp14:editId="10B762E4">
            <wp:extent cx="5337018" cy="3475904"/>
            <wp:effectExtent l="0" t="0" r="0" b="0"/>
            <wp:docPr id="2"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ecurity Services Example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338669" cy="3476979"/>
                    </a:xfrm>
                    <a:prstGeom prst="rect">
                      <a:avLst/>
                    </a:prstGeom>
                  </pic:spPr>
                </pic:pic>
              </a:graphicData>
            </a:graphic>
          </wp:inline>
        </w:drawing>
      </w:r>
    </w:p>
    <w:p w14:paraId="011E8188" w14:textId="77777777" w:rsidR="005764D7" w:rsidRDefault="005764D7">
      <w:r>
        <w:br w:type="page"/>
      </w:r>
    </w:p>
    <w:p w14:paraId="20596E20" w14:textId="61547BCE" w:rsidR="008F6566" w:rsidRDefault="008F6566">
      <w:r>
        <w:lastRenderedPageBreak/>
        <w:t xml:space="preserve">The following table </w:t>
      </w:r>
      <w:r w:rsidR="00B05A8F">
        <w:t>describes the different points of use and their implication.</w:t>
      </w:r>
    </w:p>
    <w:tbl>
      <w:tblPr>
        <w:tblStyle w:val="GridTable1Light"/>
        <w:tblW w:w="0pt" w:type="dxa"/>
        <w:tblLook w:firstRow="1" w:lastRow="0" w:firstColumn="1" w:lastColumn="0" w:noHBand="0" w:noVBand="1"/>
      </w:tblPr>
      <w:tblGrid>
        <w:gridCol w:w="1795"/>
        <w:gridCol w:w="4438"/>
        <w:gridCol w:w="3117"/>
      </w:tblGrid>
      <w:tr w:rsidR="00FE68B1" w14:paraId="6FF16943" w14:textId="77777777" w:rsidTr="00EA0B6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89.75pt" w:type="dxa"/>
          </w:tcPr>
          <w:p w14:paraId="2DF6151C" w14:textId="680E780B" w:rsidR="00FE68B1" w:rsidRDefault="00FE68B1">
            <w:r>
              <w:t>Point of Use</w:t>
            </w:r>
          </w:p>
        </w:tc>
        <w:tc>
          <w:tcPr>
            <w:tcW w:w="221.90pt" w:type="dxa"/>
          </w:tcPr>
          <w:p w14:paraId="5494970E" w14:textId="5116FA3C" w:rsidR="00FE68B1" w:rsidRDefault="00FE68B1">
            <w:pPr>
              <w:cnfStyle w:firstRow="1" w:lastRow="0" w:firstColumn="0" w:lastColumn="0" w:oddVBand="0" w:evenVBand="0" w:oddHBand="0" w:evenHBand="0" w:firstRowFirstColumn="0" w:firstRowLastColumn="0" w:lastRowFirstColumn="0" w:lastRowLastColumn="0"/>
            </w:pPr>
            <w:r>
              <w:t>Meaning</w:t>
            </w:r>
          </w:p>
        </w:tc>
        <w:tc>
          <w:tcPr>
            <w:tcW w:w="155.85pt" w:type="dxa"/>
          </w:tcPr>
          <w:p w14:paraId="6373E3A7" w14:textId="50043C2E" w:rsidR="00FE68B1" w:rsidRDefault="00FE68B1">
            <w:pPr>
              <w:cnfStyle w:firstRow="1" w:lastRow="0" w:firstColumn="0" w:lastColumn="0" w:oddVBand="0" w:evenVBand="0" w:oddHBand="0" w:evenHBand="0" w:firstRowFirstColumn="0" w:firstRowLastColumn="0" w:lastRowFirstColumn="0" w:lastRowLastColumn="0"/>
            </w:pPr>
            <w:r>
              <w:t>Example</w:t>
            </w:r>
          </w:p>
        </w:tc>
      </w:tr>
      <w:tr w:rsidR="00FE68B1" w14:paraId="10FFDA2D" w14:textId="77777777" w:rsidTr="00EA0B6C">
        <w:tc>
          <w:tcPr>
            <w:cnfStyle w:firstRow="0" w:lastRow="0" w:firstColumn="1" w:lastColumn="0" w:oddVBand="0" w:evenVBand="0" w:oddHBand="0" w:evenHBand="0" w:firstRowFirstColumn="0" w:firstRowLastColumn="0" w:lastRowFirstColumn="0" w:lastRowLastColumn="0"/>
            <w:tcW w:w="89.75pt" w:type="dxa"/>
          </w:tcPr>
          <w:p w14:paraId="1B602940" w14:textId="56137A73" w:rsidR="00FE68B1" w:rsidRDefault="00FE68B1">
            <w:r>
              <w:t>Trust Boundary</w:t>
            </w:r>
          </w:p>
        </w:tc>
        <w:tc>
          <w:tcPr>
            <w:tcW w:w="221.90pt" w:type="dxa"/>
          </w:tcPr>
          <w:p w14:paraId="531B441B" w14:textId="6E7ED8C9" w:rsidR="00FE68B1" w:rsidRDefault="00FE68B1">
            <w:pPr>
              <w:cnfStyle w:firstRow="0" w:lastRow="0" w:firstColumn="0" w:lastColumn="0" w:oddVBand="0" w:evenVBand="0" w:oddHBand="0" w:evenHBand="0" w:firstRowFirstColumn="0" w:firstRowLastColumn="0" w:lastRowFirstColumn="0" w:lastRowLastColumn="0"/>
            </w:pPr>
            <w:r>
              <w:t>The trust boundary and all components inside it are protected</w:t>
            </w:r>
          </w:p>
        </w:tc>
        <w:tc>
          <w:tcPr>
            <w:tcW w:w="155.85pt" w:type="dxa"/>
          </w:tcPr>
          <w:p w14:paraId="5810A110" w14:textId="6424BDD5" w:rsidR="00FE68B1" w:rsidRDefault="00FE68B1">
            <w:pPr>
              <w:cnfStyle w:firstRow="0" w:lastRow="0" w:firstColumn="0" w:lastColumn="0" w:oddVBand="0" w:evenVBand="0" w:oddHBand="0" w:evenHBand="0" w:firstRowFirstColumn="0" w:firstRowLastColumn="0" w:lastRowFirstColumn="0" w:lastRowLastColumn="0"/>
            </w:pPr>
            <w:r>
              <w:t>Firewall</w:t>
            </w:r>
          </w:p>
        </w:tc>
      </w:tr>
      <w:tr w:rsidR="00FE68B1" w14:paraId="06350558" w14:textId="77777777" w:rsidTr="00EA0B6C">
        <w:tc>
          <w:tcPr>
            <w:cnfStyle w:firstRow="0" w:lastRow="0" w:firstColumn="1" w:lastColumn="0" w:oddVBand="0" w:evenVBand="0" w:oddHBand="0" w:evenHBand="0" w:firstRowFirstColumn="0" w:firstRowLastColumn="0" w:lastRowFirstColumn="0" w:lastRowLastColumn="0"/>
            <w:tcW w:w="89.75pt" w:type="dxa"/>
          </w:tcPr>
          <w:p w14:paraId="2BEE8284" w14:textId="14B4DCE2" w:rsidR="00FE68B1" w:rsidRDefault="00FE68B1" w:rsidP="00FE68B1">
            <w:r>
              <w:t>Component</w:t>
            </w:r>
          </w:p>
        </w:tc>
        <w:tc>
          <w:tcPr>
            <w:tcW w:w="221.90pt" w:type="dxa"/>
          </w:tcPr>
          <w:p w14:paraId="7811BE44" w14:textId="798A94F4" w:rsidR="00FE68B1" w:rsidRDefault="00FE68B1" w:rsidP="00FE68B1">
            <w:pPr>
              <w:cnfStyle w:firstRow="0" w:lastRow="0" w:firstColumn="0" w:lastColumn="0" w:oddVBand="0" w:evenVBand="0" w:oddHBand="0" w:evenHBand="0" w:firstRowFirstColumn="0" w:firstRowLastColumn="0" w:lastRowFirstColumn="0" w:lastRowLastColumn="0"/>
            </w:pPr>
            <w:r>
              <w:t>The entire component is protected</w:t>
            </w:r>
          </w:p>
        </w:tc>
        <w:tc>
          <w:tcPr>
            <w:tcW w:w="155.85pt" w:type="dxa"/>
          </w:tcPr>
          <w:p w14:paraId="5BBD3F5F" w14:textId="54814016" w:rsidR="00FE68B1" w:rsidRDefault="00FE68B1" w:rsidP="00FE68B1">
            <w:pPr>
              <w:cnfStyle w:firstRow="0" w:lastRow="0" w:firstColumn="0" w:lastColumn="0" w:oddVBand="0" w:evenVBand="0" w:oddHBand="0" w:evenHBand="0" w:firstRowFirstColumn="0" w:firstRowLastColumn="0" w:lastRowFirstColumn="0" w:lastRowLastColumn="0"/>
            </w:pPr>
            <w:r>
              <w:t>Logging and Alerting</w:t>
            </w:r>
          </w:p>
        </w:tc>
      </w:tr>
      <w:tr w:rsidR="00FE68B1" w14:paraId="29EFFB6C" w14:textId="77777777" w:rsidTr="00EA0B6C">
        <w:tc>
          <w:tcPr>
            <w:cnfStyle w:firstRow="0" w:lastRow="0" w:firstColumn="1" w:lastColumn="0" w:oddVBand="0" w:evenVBand="0" w:oddHBand="0" w:evenHBand="0" w:firstRowFirstColumn="0" w:firstRowLastColumn="0" w:lastRowFirstColumn="0" w:lastRowLastColumn="0"/>
            <w:tcW w:w="89.75pt" w:type="dxa"/>
          </w:tcPr>
          <w:p w14:paraId="4261B163" w14:textId="5AED4645" w:rsidR="00FE68B1" w:rsidRDefault="00FE68B1" w:rsidP="00FE68B1">
            <w:r>
              <w:t>Interface</w:t>
            </w:r>
          </w:p>
        </w:tc>
        <w:tc>
          <w:tcPr>
            <w:tcW w:w="221.90pt" w:type="dxa"/>
          </w:tcPr>
          <w:p w14:paraId="38DEEFEB" w14:textId="5BAD995C" w:rsidR="00FE68B1" w:rsidRDefault="00FE68B1" w:rsidP="00FE68B1">
            <w:pPr>
              <w:cnfStyle w:firstRow="0" w:lastRow="0" w:firstColumn="0" w:lastColumn="0" w:oddVBand="0" w:evenVBand="0" w:oddHBand="0" w:evenHBand="0" w:firstRowFirstColumn="0" w:firstRowLastColumn="0" w:lastRowFirstColumn="0" w:lastRowLastColumn="0"/>
            </w:pPr>
            <w:r>
              <w:t>The interface is protected</w:t>
            </w:r>
          </w:p>
        </w:tc>
        <w:tc>
          <w:tcPr>
            <w:tcW w:w="155.85pt" w:type="dxa"/>
          </w:tcPr>
          <w:p w14:paraId="5BA6D2C0" w14:textId="2DE14586" w:rsidR="00FE68B1" w:rsidRDefault="00FE68B1" w:rsidP="00FE68B1">
            <w:pPr>
              <w:cnfStyle w:firstRow="0" w:lastRow="0" w:firstColumn="0" w:lastColumn="0" w:oddVBand="0" w:evenVBand="0" w:oddHBand="0" w:evenHBand="0" w:firstRowFirstColumn="0" w:firstRowLastColumn="0" w:lastRowFirstColumn="0" w:lastRowLastColumn="0"/>
            </w:pPr>
            <w:r>
              <w:t>N/A</w:t>
            </w:r>
          </w:p>
        </w:tc>
      </w:tr>
      <w:tr w:rsidR="00FE68B1" w14:paraId="48310E28" w14:textId="77777777" w:rsidTr="00EA0B6C">
        <w:tc>
          <w:tcPr>
            <w:cnfStyle w:firstRow="0" w:lastRow="0" w:firstColumn="1" w:lastColumn="0" w:oddVBand="0" w:evenVBand="0" w:oddHBand="0" w:evenHBand="0" w:firstRowFirstColumn="0" w:firstRowLastColumn="0" w:lastRowFirstColumn="0" w:lastRowLastColumn="0"/>
            <w:tcW w:w="89.75pt" w:type="dxa"/>
          </w:tcPr>
          <w:p w14:paraId="0F40EE92" w14:textId="3634FD1F" w:rsidR="00FE68B1" w:rsidRDefault="00FE68B1" w:rsidP="00FE68B1">
            <w:r>
              <w:t>Port</w:t>
            </w:r>
          </w:p>
        </w:tc>
        <w:tc>
          <w:tcPr>
            <w:tcW w:w="221.90pt" w:type="dxa"/>
          </w:tcPr>
          <w:p w14:paraId="490D0964" w14:textId="29DF6721" w:rsidR="00FE68B1" w:rsidRDefault="00FE68B1" w:rsidP="00FE68B1">
            <w:pPr>
              <w:cnfStyle w:firstRow="0" w:lastRow="0" w:firstColumn="0" w:lastColumn="0" w:oddVBand="0" w:evenVBand="0" w:oddHBand="0" w:evenHBand="0" w:firstRowFirstColumn="0" w:firstRowLastColumn="0" w:lastRowFirstColumn="0" w:lastRowLastColumn="0"/>
            </w:pPr>
            <w:r>
              <w:t>The functionality provided by the port is protected</w:t>
            </w:r>
          </w:p>
        </w:tc>
        <w:tc>
          <w:tcPr>
            <w:tcW w:w="155.85pt" w:type="dxa"/>
          </w:tcPr>
          <w:p w14:paraId="142E1D91" w14:textId="7A8420CC" w:rsidR="00FE68B1" w:rsidRDefault="00FE68B1" w:rsidP="00FE68B1">
            <w:pPr>
              <w:cnfStyle w:firstRow="0" w:lastRow="0" w:firstColumn="0" w:lastColumn="0" w:oddVBand="0" w:evenVBand="0" w:oddHBand="0" w:evenHBand="0" w:firstRowFirstColumn="0" w:firstRowLastColumn="0" w:lastRowFirstColumn="0" w:lastRowLastColumn="0"/>
            </w:pPr>
            <w:r>
              <w:t>Authentication</w:t>
            </w:r>
          </w:p>
        </w:tc>
      </w:tr>
    </w:tbl>
    <w:p w14:paraId="55952898" w14:textId="54FC4741" w:rsidR="00F01BA9" w:rsidRDefault="00F01BA9">
      <w:r>
        <w:t xml:space="preserve">A security service that protects an individual port speaks for that port, and the target of its delegate (if any), only. Others </w:t>
      </w:r>
      <w:r w:rsidR="00B179B4">
        <w:t>may indicate a larger surface of the product is protected.</w:t>
      </w:r>
    </w:p>
    <w:p w14:paraId="601D074A" w14:textId="33029AC4" w:rsidR="00EA0B6C" w:rsidRDefault="00B24A77">
      <w:pPr>
        <w:rPr>
          <w:b/>
          <w:bCs/>
        </w:rPr>
      </w:pPr>
      <w:r>
        <w:rPr>
          <w:b/>
          <w:bCs/>
        </w:rPr>
        <w:t>Gap Analysis</w:t>
      </w:r>
    </w:p>
    <w:p w14:paraId="5DF60094" w14:textId="17583E23" w:rsidR="00FE68B1" w:rsidRDefault="00F5312C">
      <w:r>
        <w:t xml:space="preserve">The diagrams are constructed to automate the process of performing a gap analysis. </w:t>
      </w:r>
      <w:r w:rsidR="00A2722B">
        <w:t>For our purposes, the g</w:t>
      </w:r>
      <w:r w:rsidR="000238FA">
        <w:t xml:space="preserve">ap analysis determines if any component </w:t>
      </w:r>
      <w:r w:rsidR="008B1702">
        <w:t>does not receive, direct or indirect protection from a security service providing</w:t>
      </w:r>
      <w:r w:rsidR="00A2722B">
        <w:t xml:space="preserve"> mitigations </w:t>
      </w:r>
      <w:r w:rsidR="000E2AFF">
        <w:t>from</w:t>
      </w:r>
      <w:r w:rsidR="008B1702">
        <w:t xml:space="preserve"> all ten control families. </w:t>
      </w:r>
      <w:r w:rsidR="00B57CCD">
        <w:t xml:space="preserve">The gap analysis uses the point of use </w:t>
      </w:r>
      <w:r w:rsidR="004E7D88">
        <w:t>relationship to determine if there are gaps.</w:t>
      </w:r>
    </w:p>
    <w:p w14:paraId="2D314533" w14:textId="32122665" w:rsidR="004E7D88" w:rsidRDefault="00615E9E">
      <w:r>
        <w:t>Future iterations of g</w:t>
      </w:r>
      <w:r w:rsidR="00D36FD1">
        <w:t xml:space="preserve">ap analysis </w:t>
      </w:r>
      <w:r w:rsidR="00E83342">
        <w:t>may be</w:t>
      </w:r>
      <w:r w:rsidR="00D36FD1">
        <w:t xml:space="preserve"> further refined by attaching sensitives to </w:t>
      </w:r>
      <w:r w:rsidR="000E2AFF">
        <w:t>functions</w:t>
      </w:r>
      <w:r w:rsidR="00D532D7">
        <w:t>.</w:t>
      </w:r>
    </w:p>
    <w:p w14:paraId="6D4E3862" w14:textId="77777777" w:rsidR="0003675A" w:rsidRPr="00FE68B1" w:rsidRDefault="0003675A"/>
    <w:sectPr w:rsidR="0003675A" w:rsidRPr="00FE68B1">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69"/>
    <w:rsid w:val="00005D59"/>
    <w:rsid w:val="00012E77"/>
    <w:rsid w:val="00013069"/>
    <w:rsid w:val="000173E3"/>
    <w:rsid w:val="000238FA"/>
    <w:rsid w:val="0003675A"/>
    <w:rsid w:val="00080142"/>
    <w:rsid w:val="00080C95"/>
    <w:rsid w:val="00093FB7"/>
    <w:rsid w:val="000B4213"/>
    <w:rsid w:val="000D5B5E"/>
    <w:rsid w:val="000E2AFF"/>
    <w:rsid w:val="0013622C"/>
    <w:rsid w:val="00162A74"/>
    <w:rsid w:val="001A0939"/>
    <w:rsid w:val="001F1D59"/>
    <w:rsid w:val="0024766C"/>
    <w:rsid w:val="002E088D"/>
    <w:rsid w:val="002E29A3"/>
    <w:rsid w:val="00333A78"/>
    <w:rsid w:val="00343EA2"/>
    <w:rsid w:val="003957C4"/>
    <w:rsid w:val="004742B9"/>
    <w:rsid w:val="004E7D88"/>
    <w:rsid w:val="004F2646"/>
    <w:rsid w:val="00522443"/>
    <w:rsid w:val="00555136"/>
    <w:rsid w:val="005764D7"/>
    <w:rsid w:val="00580858"/>
    <w:rsid w:val="005C51BE"/>
    <w:rsid w:val="005E6C5A"/>
    <w:rsid w:val="005F4C7D"/>
    <w:rsid w:val="00606E1D"/>
    <w:rsid w:val="00615E9E"/>
    <w:rsid w:val="006329D0"/>
    <w:rsid w:val="0071711C"/>
    <w:rsid w:val="00753BA8"/>
    <w:rsid w:val="00756E1D"/>
    <w:rsid w:val="00782673"/>
    <w:rsid w:val="00820450"/>
    <w:rsid w:val="00835063"/>
    <w:rsid w:val="008373C9"/>
    <w:rsid w:val="00873BAE"/>
    <w:rsid w:val="008B1702"/>
    <w:rsid w:val="008E0CD7"/>
    <w:rsid w:val="008F6566"/>
    <w:rsid w:val="0093040C"/>
    <w:rsid w:val="00950C5D"/>
    <w:rsid w:val="00970283"/>
    <w:rsid w:val="009B4C93"/>
    <w:rsid w:val="00A2722B"/>
    <w:rsid w:val="00A40F41"/>
    <w:rsid w:val="00A458FF"/>
    <w:rsid w:val="00A82F26"/>
    <w:rsid w:val="00AD5C4F"/>
    <w:rsid w:val="00B05A8F"/>
    <w:rsid w:val="00B179B4"/>
    <w:rsid w:val="00B24A77"/>
    <w:rsid w:val="00B57CCD"/>
    <w:rsid w:val="00BA2FA7"/>
    <w:rsid w:val="00BE3E3F"/>
    <w:rsid w:val="00C15698"/>
    <w:rsid w:val="00C71019"/>
    <w:rsid w:val="00C87A1A"/>
    <w:rsid w:val="00CF0A30"/>
    <w:rsid w:val="00D36FD1"/>
    <w:rsid w:val="00D532D7"/>
    <w:rsid w:val="00D91CEA"/>
    <w:rsid w:val="00DD26B5"/>
    <w:rsid w:val="00E34F2B"/>
    <w:rsid w:val="00E83342"/>
    <w:rsid w:val="00EA0B6C"/>
    <w:rsid w:val="00F01BA9"/>
    <w:rsid w:val="00F5312C"/>
    <w:rsid w:val="00FC7979"/>
    <w:rsid w:val="00FE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CCB92"/>
  <w15:chartTrackingRefBased/>
  <w15:docId w15:val="{6ADF30E8-B0F6-49B8-8D9D-1D488E7DD0E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4C7D"/>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FE68B1"/>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EA0B6C"/>
    <w:pPr>
      <w:spacing w:after="0pt" w:line="12pt" w:lineRule="auto"/>
    </w:p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F4C7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458FF"/>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8FF"/>
    <w:rPr>
      <w:rFonts w:ascii="Segoe UI" w:hAnsi="Segoe UI" w:cs="Segoe UI"/>
      <w:sz w:val="18"/>
      <w:szCs w:val="18"/>
    </w:rPr>
  </w:style>
  <w:style w:type="character" w:styleId="Hyperlink">
    <w:name w:val="Hyperlink"/>
    <w:basedOn w:val="DefaultParagraphFont"/>
    <w:uiPriority w:val="99"/>
    <w:unhideWhenUsed/>
    <w:rsid w:val="00782673"/>
    <w:rPr>
      <w:color w:val="0563C1" w:themeColor="hyperlink"/>
      <w:u w:val="single"/>
    </w:rPr>
  </w:style>
  <w:style w:type="character" w:styleId="UnresolvedMention">
    <w:name w:val="Unresolved Mention"/>
    <w:basedOn w:val="DefaultParagraphFont"/>
    <w:uiPriority w:val="99"/>
    <w:semiHidden/>
    <w:unhideWhenUsed/>
    <w:rsid w:val="00782673"/>
    <w:rPr>
      <w:color w:val="605E5C"/>
      <w:shd w:val="clear" w:color="auto" w:fill="E1DFDD"/>
    </w:rPr>
  </w:style>
  <w:style w:type="paragraph" w:styleId="Title">
    <w:name w:val="Title"/>
    <w:basedOn w:val="Normal"/>
    <w:next w:val="Normal"/>
    <w:link w:val="TitleChar"/>
    <w:uiPriority w:val="10"/>
    <w:qFormat/>
    <w:rsid w:val="001362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3.png"/><Relationship Id="rId3" Type="http://purl.oclc.org/ooxml/officeDocument/relationships/customXml" Target="../customXml/item3.xml"/><Relationship Id="rId7" Type="http://purl.oclc.org/ooxml/officeDocument/relationships/webSettings" Target="webSettings.xml"/><Relationship Id="rId12" Type="http://purl.oclc.org/ooxml/officeDocument/relationships/hyperlink" Target="https://docs.nomagic.com/display/UAFP190/Security+Enclave" TargetMode="External"/><Relationship Id="rId2" Type="http://purl.oclc.org/ooxml/officeDocument/relationships/customXml" Target="../customXml/item2.xml"/><Relationship Id="rId16" Type="http://purl.oclc.org/ooxml/officeDocument/relationships/theme" Target="theme/theme1.xml"/><Relationship Id="rId1" Type="http://purl.oclc.org/ooxml/officeDocument/relationships/customXml" Target="../customXml/item1.xml"/><Relationship Id="rId6" Type="http://purl.oclc.org/ooxml/officeDocument/relationships/settings" Target="settings.xml"/><Relationship Id="rId11" Type="http://purl.oclc.org/ooxml/officeDocument/relationships/hyperlink" Target="https://en.wikipedia.org/wiki/Stereotype_(UML)" TargetMode="External"/><Relationship Id="rId5" Type="http://purl.oclc.org/ooxml/officeDocument/relationships/styles" Target="styles.xml"/><Relationship Id="rId15" Type="http://purl.oclc.org/ooxml/officeDocument/relationships/fontTable" Target="fontTable.xml"/><Relationship Id="rId10" Type="http://purl.oclc.org/ooxml/officeDocument/relationships/hyperlink" Target="https://www.omg.org/spec/UML/About-UML/" TargetMode="External"/><Relationship Id="rId4" Type="http://purl.oclc.org/ooxml/officeDocument/relationships/customXml" Target="../customXml/item4.xml"/><Relationship Id="rId9" Type="http://purl.oclc.org/ooxml/officeDocument/relationships/image" Target="media/image2.svg"/><Relationship Id="rId14" Type="http://purl.oclc.org/ooxml/officeDocument/relationships/image" Target="media/image4.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AE5D275B184468178F4D9971BB694" ma:contentTypeVersion="11" ma:contentTypeDescription="Create a new document." ma:contentTypeScope="" ma:versionID="dba9e48a582559e0936728b9b87cc82c">
  <xsd:schema xmlns:xsd="http://www.w3.org/2001/XMLSchema" xmlns:xs="http://www.w3.org/2001/XMLSchema" xmlns:p="http://schemas.microsoft.com/office/2006/metadata/properties" xmlns:ns2="53164698-b3e5-48d7-a4e1-140e13708e96" xmlns:ns3="0042fd8a-77f9-46dc-9f74-81e43bc75bc8" targetNamespace="http://schemas.microsoft.com/office/2006/metadata/properties" ma:root="true" ma:fieldsID="43ac5445a2e8009a63502f2becdd8e88" ns2:_="" ns3:_="">
    <xsd:import namespace="53164698-b3e5-48d7-a4e1-140e13708e96"/>
    <xsd:import namespace="0042fd8a-77f9-46dc-9f74-81e43bc75b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64698-b3e5-48d7-a4e1-140e13708e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42fd8a-77f9-46dc-9f74-81e43bc75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AFA2E50-4079-42EA-A89E-0A2206ADD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64698-b3e5-48d7-a4e1-140e13708e96"/>
    <ds:schemaRef ds:uri="0042fd8a-77f9-46dc-9f74-81e43bc75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4F3540F3-A6C9-460C-8020-984BB03B53FD}">
  <ds:schemaRefs>
    <ds:schemaRef ds:uri="http://schemas.microsoft.com/sharepoint/v3/contenttype/forms"/>
  </ds:schemaRefs>
</ds:datastoreItem>
</file>

<file path=customXml/itemProps3.xml><?xml version="1.0" encoding="utf-8"?>
<ds:datastoreItem xmlns:ds="http://purl.oclc.org/ooxml/officeDocument/customXml" ds:itemID="{BE6839E3-5F11-472E-B573-E487B268281C}">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AC54F61A-00BF-4CCE-872E-7259BA63F89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561</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Dziurlaj</dc:creator>
  <cp:keywords/>
  <dc:description/>
  <cp:lastModifiedBy>John Dziurlaj</cp:lastModifiedBy>
  <cp:revision>73</cp:revision>
  <dcterms:created xsi:type="dcterms:W3CDTF">2020-10-14T18:55:00Z</dcterms:created>
  <dcterms:modified xsi:type="dcterms:W3CDTF">2020-12-28T12:50:00Z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0x010100373AE5D275B184468178F4D9971BB694</vt:lpwstr>
  </property>
</Properties>
</file>