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32"/>
          <w:szCs w:val="32"/>
        </w:rPr>
        <w:t xml:space="preserve">Casterly Pulse Protection Agent (CLPA)</w:t>
      </w:r>
    </w:p>
    <w:p>
      <w:pPr>
        <w:spacing w:after="200"/>
        <w:jc w:val="center"/>
      </w:pPr>
      <w:r>
        <w:rPr>
          <w:color w:val="5A6A7A"/>
          <w:sz w:val="20"/>
          <w:szCs w:val="20"/>
        </w:rPr>
        <w:t xml:space="preserve">Project Summary Report  |  Version 2.4.1  |  July 2026</w:t>
      </w:r>
    </w:p>
    <w:p>
      <w:pPr>
        <w:pStyle w:val="Heading2"/>
        <w:spacing w:after="80" w:before="120"/>
      </w:pPr>
      <w:r>
        <w:rPr>
          <w:b/>
          <w:bCs/>
          <w:color w:val="1E3A5F"/>
          <w:sz w:val="24"/>
          <w:szCs w:val="24"/>
        </w:rPr>
        <w:t xml:space="preserve">Project Overview</w:t>
      </w:r>
    </w:p>
    <w:p>
      <w:pPr>
        <w:spacing w:after="120"/>
      </w:pPr>
      <w:r>
        <w:rPr>
          <w:sz w:val="22"/>
          <w:szCs w:val="22"/>
        </w:rPr>
        <w:t xml:space="preserve">The Casterly Pulse Protection Agent (CLPA) is an enterprise-grade endpoint monitoring, security, and IT service management platform. It provides real-time hardware telemetry, AI-driven health predictions, proactive alerting, remote assistance, and warranty governance — all from a unified desktop agent deployed across organizational devices.</w:t>
      </w:r>
    </w:p>
    <w:p>
      <w:pPr>
        <w:pStyle w:val="Heading2"/>
        <w:spacing w:after="80" w:before="80"/>
      </w:pPr>
      <w:r>
        <w:rPr>
          <w:b/>
          <w:bCs/>
          <w:color w:val="1E3A5F"/>
          <w:sz w:val="24"/>
          <w:szCs w:val="24"/>
        </w:rPr>
        <w:t xml:space="preserve">Core Modules &amp;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0FE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shd w:fill="E8F0FE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Features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Live telemetry (5s refresh) for CPU, RAM, Storage, Battery, Thermal, GPU, Network, and OS — 147 AI signals monitored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AI Intel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Health score (92/100), risk predictions (SSD life, battery cycles, thermal risk), and AI recommendations with confidence levels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Full component inventory, 100% hardware integrity attestation (TPM, Secure Boot, BitLocker), and health distribution analytics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Alerts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Critical/Warning/Info alerts with acknowledge, snooze, and dismiss actions; AI-powered alert grouping and insights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Remote Assist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Ticket-based remote sessions with screen share, diagnostics, live chat, AI-assisted troubleshooting, and consent-based permissions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Warranty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Warranty &amp; subscription tracking, coverage dashboards, usage entitlements (125/150 devices), and transaction history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Agent configuration, policy sync (MQTT), telemetry controls, appearance themes, and system integration toggles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E3A5F"/>
          <w:sz w:val="24"/>
          <w:szCs w:val="24"/>
        </w:rPr>
        <w:t xml:space="preserve">Technical Highlights</w:t>
      </w:r>
    </w:p>
    <w:p>
      <w:pPr>
        <w:spacing w:after="8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Modern React-based UI</w:t>
      </w:r>
      <w:r>
        <w:rPr>
          <w:sz w:val="22"/>
          <w:szCs w:val="22"/>
        </w:rPr>
        <w:t xml:space="preserve"> with responsive card layouts, real-time data visualization, and light/dark theme support</w:t>
      </w:r>
    </w:p>
    <w:p>
      <w:pPr>
        <w:spacing w:after="8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AI Engine v3.2</w:t>
      </w:r>
      <w:r>
        <w:rPr>
          <w:sz w:val="22"/>
          <w:szCs w:val="22"/>
        </w:rPr>
        <w:t xml:space="preserve"> delivering predictive maintenance, alert correlation (94% confidence), and automated remediation suggestions</w:t>
      </w:r>
    </w:p>
    <w:p>
      <w:pPr>
        <w:spacing w:after="8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MQTT-based agent connectivity</w:t>
      </w:r>
      <w:r>
        <w:rPr>
          <w:sz w:val="22"/>
          <w:szCs w:val="22"/>
        </w:rPr>
        <w:t xml:space="preserve"> with policy sync, background service, and enterprise subscription management (Enterprise plan)</w:t>
      </w:r>
    </w:p>
    <w:p>
      <w:pPr>
        <w:spacing w:after="8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Security-first design</w:t>
      </w:r>
      <w:r>
        <w:rPr>
          <w:sz w:val="22"/>
          <w:szCs w:val="22"/>
        </w:rPr>
        <w:t xml:space="preserve"> — consent-based remote access, tamper detection, driver integrity checks, and granular data privacy controls</w:t>
      </w:r>
    </w:p>
    <w:p>
      <w:pPr>
        <w:pStyle w:val="Heading2"/>
        <w:spacing w:after="80" w:before="160"/>
      </w:pPr>
      <w:r>
        <w:rPr>
          <w:b/>
          <w:bCs/>
          <w:color w:val="1E3A5F"/>
          <w:sz w:val="24"/>
          <w:szCs w:val="24"/>
        </w:rPr>
        <w:t xml:space="preserve">Current Status &amp; Business Value</w:t>
      </w:r>
    </w:p>
    <w:p>
      <w:pPr>
        <w:spacing w:after="120"/>
      </w:pPr>
      <w:r>
        <w:rPr>
          <w:sz w:val="22"/>
          <w:szCs w:val="22"/>
        </w:rPr>
        <w:t xml:space="preserve">The platform is fully operational with status PROTECTED and Online. Device coverage stands at 100% (Warranty + Subscription + Service). The agent monitors Dell Latitude 7440 endpoints with active warranty until Aug 2026. Key business outcomes include reduced MTTR via AI-assisted remote support (4-min avg alert response), proactive hardware failure prevention, and centralized lifecycle management for 125 licensed devices across Casterly Corp Engineering.</w:t>
      </w:r>
    </w:p>
    <w:p>
      <w:pPr>
        <w:pBdr>
          <w:top w:val="single" w:color="CCCCCC" w:sz="1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Prepared for Management Review  |  Casterly Corp  |  Engineering Department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2026-07-10T06:28:55.725Z</dcterms:created>
  <dcterms:modified xsi:type="dcterms:W3CDTF">2026-07-10T06:28:55.726Z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