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BAROMETER SYNAPSUN — JUIN 2026</w:t>
      </w:r>
    </w:p>
    <w:p>
      <w:r>
        <w:t>Analyse mensuelle du marché photovoltaïque — Distribution B2B</w:t>
      </w:r>
    </w:p>
    <w:p>
      <w:r>
        <w:t>Date : 2026-06-14 | Auteur : Franck Catanese</w:t>
      </w:r>
    </w:p>
    <w:p/>
    <w:p>
      <w:pPr>
        <w:pStyle w:val="Heading1"/>
      </w:pPr>
      <w:r>
        <w:t>1. PRIX MODULES — TENDANCES MARCHÉ</w:t>
      </w:r>
    </w:p>
    <w:p>
      <w:r>
        <w:t>Les prix modules ont continué leur légère baisse au T2 2026, avec une stabilisation attendue au T3. Le segment Mono PERC 550-570W reste le plus compétitif du marché avec des prix autour de 0.14-0.15 €/Wc DAP France.</w:t>
      </w:r>
    </w:p>
    <w:p>
      <w:pPr>
        <w:pStyle w:val="Heading2"/>
      </w:pPr>
      <w:r>
        <w:t>Prix indicatifs par technologie (DAP France, Q2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Technologie</w:t>
            </w:r>
          </w:p>
        </w:tc>
        <w:tc>
          <w:tcPr>
            <w:tcW w:type="dxa" w:w="2160"/>
          </w:tcPr>
          <w:p>
            <w:r>
              <w:t>Puissance</w:t>
            </w:r>
          </w:p>
        </w:tc>
        <w:tc>
          <w:tcPr>
            <w:tcW w:type="dxa" w:w="2160"/>
          </w:tcPr>
          <w:p>
            <w:r>
              <w:t>Prix €/Wc</w:t>
            </w:r>
          </w:p>
        </w:tc>
        <w:tc>
          <w:tcPr>
            <w:tcW w:type="dxa" w:w="2160"/>
          </w:tcPr>
          <w:p>
            <w:r>
              <w:t>Tendance</w:t>
            </w:r>
          </w:p>
        </w:tc>
      </w:tr>
      <w:tr>
        <w:tc>
          <w:tcPr>
            <w:tcW w:type="dxa" w:w="2160"/>
          </w:tcPr>
          <w:p>
            <w:r>
              <w:t>Mono PERC</w:t>
            </w:r>
          </w:p>
        </w:tc>
        <w:tc>
          <w:tcPr>
            <w:tcW w:type="dxa" w:w="2160"/>
          </w:tcPr>
          <w:p>
            <w:r>
              <w:t>540-570W</w:t>
            </w:r>
          </w:p>
        </w:tc>
        <w:tc>
          <w:tcPr>
            <w:tcW w:type="dxa" w:w="2160"/>
          </w:tcPr>
          <w:p>
            <w:r>
              <w:t>0.142-0.150</w:t>
            </w:r>
          </w:p>
        </w:tc>
        <w:tc>
          <w:tcPr>
            <w:tcW w:type="dxa" w:w="2160"/>
          </w:tcPr>
          <w:p>
            <w:r>
              <w:t>↘ -2% vs T1</w:t>
            </w:r>
          </w:p>
        </w:tc>
      </w:tr>
      <w:tr>
        <w:tc>
          <w:tcPr>
            <w:tcW w:type="dxa" w:w="2160"/>
          </w:tcPr>
          <w:p>
            <w:r>
              <w:t>Bifacial N-Type TOPCon</w:t>
            </w:r>
          </w:p>
        </w:tc>
        <w:tc>
          <w:tcPr>
            <w:tcW w:type="dxa" w:w="2160"/>
          </w:tcPr>
          <w:p>
            <w:r>
              <w:t>580-600W</w:t>
            </w:r>
          </w:p>
        </w:tc>
        <w:tc>
          <w:tcPr>
            <w:tcW w:type="dxa" w:w="2160"/>
          </w:tcPr>
          <w:p>
            <w:r>
              <w:t>0.138-0.148</w:t>
            </w:r>
          </w:p>
        </w:tc>
        <w:tc>
          <w:tcPr>
            <w:tcW w:type="dxa" w:w="2160"/>
          </w:tcPr>
          <w:p>
            <w:r>
              <w:t>↘ -3% vs T1</w:t>
            </w:r>
          </w:p>
        </w:tc>
      </w:tr>
      <w:tr>
        <w:tc>
          <w:tcPr>
            <w:tcW w:type="dxa" w:w="2160"/>
          </w:tcPr>
          <w:p>
            <w:r>
              <w:t>Bifacial HJT</w:t>
            </w:r>
          </w:p>
        </w:tc>
        <w:tc>
          <w:tcPr>
            <w:tcW w:type="dxa" w:w="2160"/>
          </w:tcPr>
          <w:p>
            <w:r>
              <w:t>500-520W</w:t>
            </w:r>
          </w:p>
        </w:tc>
        <w:tc>
          <w:tcPr>
            <w:tcW w:type="dxa" w:w="2160"/>
          </w:tcPr>
          <w:p>
            <w:r>
              <w:t>0.165-0.175</w:t>
            </w:r>
          </w:p>
        </w:tc>
        <w:tc>
          <w:tcPr>
            <w:tcW w:type="dxa" w:w="2160"/>
          </w:tcPr>
          <w:p>
            <w:r>
              <w:t>→ Stable</w:t>
            </w:r>
          </w:p>
        </w:tc>
      </w:tr>
      <w:tr>
        <w:tc>
          <w:tcPr>
            <w:tcW w:type="dxa" w:w="2160"/>
          </w:tcPr>
          <w:p>
            <w:r>
              <w:t>Mono PERC 400W (résidentiel)</w:t>
            </w:r>
          </w:p>
        </w:tc>
        <w:tc>
          <w:tcPr>
            <w:tcW w:type="dxa" w:w="2160"/>
          </w:tcPr>
          <w:p>
            <w:r>
              <w:t>400-415W</w:t>
            </w:r>
          </w:p>
        </w:tc>
        <w:tc>
          <w:tcPr>
            <w:tcW w:type="dxa" w:w="2160"/>
          </w:tcPr>
          <w:p>
            <w:r>
              <w:t>0.155-0.162</w:t>
            </w:r>
          </w:p>
        </w:tc>
        <w:tc>
          <w:tcPr>
            <w:tcW w:type="dxa" w:w="2160"/>
          </w:tcPr>
          <w:p>
            <w:r>
              <w:t>↘ -1% vs T1</w:t>
            </w:r>
          </w:p>
        </w:tc>
      </w:tr>
    </w:tbl>
    <w:p/>
    <w:p>
      <w:pPr>
        <w:pStyle w:val="Heading1"/>
      </w:pPr>
      <w:r>
        <w:t>2. FOURNISSEURS PRIORITAIRES SYNAPSUN</w:t>
      </w:r>
    </w:p>
    <w:p>
      <w:r>
        <w:t>Notre panel fournisseurs reste stable avec 4 fabricants Tier 1 certifiés ECS :</w:t>
      </w:r>
    </w:p>
    <w:p>
      <w:pPr>
        <w:pStyle w:val="ListBullet"/>
      </w:pPr>
      <w:r>
        <w:t>JA Solar — ECS valide 12/2026 — Référent : Kevin Li — contact@jasolar.fr</w:t>
      </w:r>
    </w:p>
    <w:p>
      <w:pPr>
        <w:pStyle w:val="ListBullet"/>
      </w:pPr>
      <w:r>
        <w:t>Tongwei Solar — ECS valide 06/2027 — Référent : Wei Zhang — fr@tongwei.com</w:t>
      </w:r>
    </w:p>
    <w:p>
      <w:pPr>
        <w:pStyle w:val="ListBullet"/>
      </w:pPr>
      <w:r>
        <w:t>LONGi Solar — ECS valide 09/2026 — Référent : Marie Chen — longi.fr@longi.com</w:t>
      </w:r>
    </w:p>
    <w:p>
      <w:pPr>
        <w:pStyle w:val="ListBullet"/>
      </w:pPr>
      <w:r>
        <w:t>Topcon Solar — ECS valide 03/2027 — Référent : Paul Dubois — sales@topcon.com</w:t>
      </w:r>
    </w:p>
    <w:p>
      <w:pPr>
        <w:pStyle w:val="Heading1"/>
      </w:pPr>
      <w:r>
        <w:t>3. ALERTES ET ACTIONS IMMÉDIATES</w:t>
      </w:r>
    </w:p>
    <w:p>
      <w:r>
        <w:t>⚠️ ECS LONGi expire le 30/09/2026 — demander renouvellement avant fin juillet</w:t>
      </w:r>
    </w:p>
    <w:p>
      <w:r>
        <w:t>✅ Nouveau tarif JA Solar Q2 validé — grille disponible sur WorkDrive</w:t>
      </w:r>
    </w:p>
    <w:p>
      <w:r>
        <w:t>📌 CRE AO S13 2026 publié — liste de projets éligibles à qualifier avant le 15/07</w:t>
      </w:r>
    </w:p>
    <w:p>
      <w:pPr>
        <w:pStyle w:val="Heading1"/>
      </w:pPr>
      <w:r>
        <w:t>4. PIPELINE COMMERCIAL JUIN 2026</w:t>
      </w:r>
    </w:p>
    <w:p>
      <w:r>
        <w:t>5 affaires actives pour 2 860 kWc et un CA potentiel de 452 172 € HT.</w:t>
      </w:r>
    </w:p>
    <w:p>
      <w:r>
        <w:t>Priorité : transformer AFF-2026-047 (500 kWc, SolarPro Rhône) avant le 01/07.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