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Denton</w:t>
            </w:r>
            <w:proofErr w:type="spellStart"/>
            <w:r>
              <w:rPr>
                <w:rFonts w:ascii="Open Sans" w:eastAsia="Open Sans" w:hAnsi="Open Sans" w:cs="Open Sans"/>
              </w:rPr>
              <w:t/>
            </w:r>
            <w:proofErr w:type="spellEnd"/>
            <w:r>
              <w:rPr>
                <w:rFonts w:ascii="Open Sans" w:eastAsia="Open Sans" w:hAnsi="Open Sans" w:cs="Open Sans"/>
              </w:rPr>
              <w:t xml:space="preserve"> Chambers</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Dolor et quia labori</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Saepe earum suscipit Aut enim perspiciati</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ANG2026-0213-102259</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26.04.1982</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Ivory Tillman</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ANG2026-0213-102259</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Chambers</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2.201,96 €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2.201,96 €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- 858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807,55 €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807,55 €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Plattenlager Pro justierbar 64–110 mm für Terrassenplatten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Aragon anthrazit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3.009,51 €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571,81 €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3.581,32 €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21.06.1982</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