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ANG2025-1009-143607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15.01.2017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ANG2025-1009-143607</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780"/>
        <w:gridCol w:w="4530"/>
        <w:gridCol w:w="2325"/>
        <w:gridCol w:w="1485"/>
        <w:tblGridChange w:id="0">
          <w:tblGrid>
            <w:gridCol w:w="660"/>
            <w:gridCol w:w="780"/>
            <w:gridCol w:w="4530"/>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1.086,00 €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1.086,00 €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780"/>
        <w:gridCol w:w="4515"/>
        <w:gridCol w:w="2325"/>
        <w:gridCol w:w="1755"/>
        <w:tblGridChange w:id="0">
          <w:tblGrid>
            <w:gridCol w:w="675"/>
            <w:gridCol w:w="780"/>
            <w:gridCol w:w="4515"/>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3.134,48 €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3.134,48 €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- 3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Verbindungsprofil(e) (Plattenanzahl - 1)</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4.918,39 €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934,49 €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5.852,88 €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59,50€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9">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