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600"/>
        <w:gridCol w:w="4626"/>
      </w:tblGrid>
      <w:tr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6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6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626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800"/>
              <w:gridCol w:w="2826"/>
            </w:tblGrid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{Angebotsnummer}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{Datum}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{ValidityDate}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{Ansprechpartner}</w:t>
                  </w:r>
                </w:p>
              </w:tc>
            </w:tr>
          </w:tbl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{Greeting} {Nachname},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00"/>
        <w:gridCol w:w="1050"/>
        <w:gridCol w:w="1685"/>
        <w:gridCol w:w="1400"/>
      </w:tblGrid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{AhAnfahrtGesamt}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{#AhServices}{AhServicePos}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{AhServiceTitle}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>{AhServiceSubtitle}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>{#AhServiceTasks}• {AhTaskLabel}{/AhServiceTasks}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{AhServiceGesamt}{/AhServices}</w:t>
            </w:r>
          </w:p>
        </w:tc>
      </w:tr>
      <w:tr>
        <w:trPr/>
        <w:tc>
          <w:tcPr>
            <w:tcW w:w="100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4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6"/>
                <w:szCs w:val="16"/>
              </w:rPr>
              <w:t>{#AhHasServicepauschale}Folgende Pauschale wird nicht von der Krankenkasse übernommen und versteht sich inkl. MwSt. Diese rechnen wir, wenn benötigt / wie mit Ihnen vereinbart direkt mit Ihnen ab: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*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Servicepauschale Reinigungsutensilien für HnD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1,20 € / Monat für Bereitstellung der Reinigungsutensilien – jährliche Abrechnung nach tatsächlichen Monaten, in denen Sie unsere Haushaltsnahen Dienstleistungen (HnD) in Anspruch genommen haben.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Pro Monat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{AhServicepausEinzelpreis}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{/AhHasServicepauschale}</w:t>
            </w:r>
          </w:p>
        </w:tc>
      </w:tr>
      <w:tr>
        <w:trPr/>
        <w:tc>
          <w:tcPr>
            <w:tcW w:w="86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{AhGesamtbetrag}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>{AhNote}</w:t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535"/>
      </w:tblGrid>
      <w:tr>
        <w:trPr/>
        <w:tc>
          <w:tcPr>
            <w:tcW w:w="6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{#AhKondRows}{AhKondLabel}</w:t>
            </w:r>
          </w:p>
        </w:tc>
        <w:tc>
          <w:tcPr>
            <w:tcW w:w="35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{AhKondValue}{/AhKondRows}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4535"/>
      </w:tblGrid>
      <w:tr>
        <w:trPr/>
        <w:tc>
          <w:tcPr>
            <w:tcW w:w="5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5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t>{%OurSignatureImage}</w:t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0" w:footer="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tbl>
    <w:tblPr>
      <w:tblStyle w:val="NormalTable0"/>
      <w:tblW w:w="9360" w:type="dxa"/>
      <w:tblInd w:w="0" w:type="dxa"/>
      <w:tblLayout w:type="fixed"/>
      <w:tblCellMar>
        <w:left w:w="0" w:type="dxa"/>
        <w:right w:w="0" w:type="dxa"/>
      </w:tblCellMar>
    </w:tblPr>
    <w:tblGrid>
      <w:gridCol w:w="7200"/>
      <w:gridCol w:w="2160"/>
    </w:tblGrid>
    <w:tr>
      <w:trPr>
        <w:trHeight w:val="725" w:hRule="exact"/>
      </w:trPr>
      <w:tc>
        <w:tcPr>
          <w:tcW w:w="7200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spacing w:before="0" w:after="60"/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</w:pPr>
          <w:r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  <w:t xml:space="preserve">EmC2  Alltagshilfe</w:t>
          </w:r>
        </w:p>
      </w:tc>
      <w:tc>
        <w:tcPr>
          <w:tcW w:w="2160" w:type="dxa"/>
          <w:vMerge w:val="restart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  <w:vAlign w:val="top"/>
        </w:tcPr>
        <w:p>
          <w:pPr>
            <w:jc w:val="right"/>
            <w:spacing w:before="0" w:after="0"/>
          </w:pPr>
          <w:r>
            <w:rPr>
              <w:noProof/>
            </w:rPr>
            <w:drawing>
              <wp:inline xmlns:wp="http://schemas.openxmlformats.org/drawingml/2006/wordprocessingDrawing" distT="0" distB="0" distL="0" distR="0">
                <wp:extent cx="1585595" cy="920750"/>
                <wp:effectExtent l="0" t="0" r="0" b="0"/>
                <wp:docPr id="2" name="emc2-log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5595" cy="9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25" w:hRule="exact"/>
      </w:trPr>
      <w:tc>
        <w:tcPr>
          <w:tcW w:w="7200" w:type="dxa"/>
          <w:tcBorders>
            <w:top w:val="single" w:sz="18" w:space="0" w:color="2E74B5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</w:pPr>
        </w:p>
      </w:tc>
      <w:tc>
        <w:tcPr>
          <w:tcW w:w="2160" w:type="dxa"/>
          <w:vMerge/>
          <w:tcBorders>
            <w:top w:val="single" w:sz="18" w:space="0" w:color="2E74B5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</w:pPr>
        </w:p>
      </w:tc>
    </w:tr>
  </w:tbl>
</w:hdr>
</file>

<file path=word/header3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tbl>
    <w:tblPr>
      <w:tblStyle w:val="NormalTable0"/>
      <w:tblW w:w="9360" w:type="dxa"/>
      <w:tblInd w:w="0" w:type="dxa"/>
      <w:tblLayout w:type="fixed"/>
      <w:tblCellMar>
        <w:left w:w="0" w:type="dxa"/>
        <w:right w:w="0" w:type="dxa"/>
      </w:tblCellMar>
    </w:tblPr>
    <w:tblGrid>
      <w:gridCol w:w="7200"/>
      <w:gridCol w:w="2160"/>
    </w:tblGrid>
    <w:tr>
      <w:trPr>
        <w:trHeight w:val="725" w:hRule="exact"/>
      </w:trPr>
      <w:tc>
        <w:tcPr>
          <w:tcW w:w="7200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spacing w:before="0" w:after="60"/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</w:pPr>
          <w:r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  <w:t xml:space="preserve">EmC2  Alltagshilfe</w:t>
          </w:r>
        </w:p>
      </w:tc>
      <w:tc>
        <w:tcPr>
          <w:tcW w:w="2160" w:type="dxa"/>
          <w:vMerge w:val="restart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  <w:vAlign w:val="top"/>
        </w:tcPr>
        <w:p>
          <w:pPr>
            <w:jc w:val="right"/>
            <w:spacing w:before="0" w:after="0"/>
          </w:pPr>
          <w:r>
            <w:rPr>
              <w:noProof/>
            </w:rPr>
            <w:drawing>
              <wp:inline xmlns:wp="http://schemas.openxmlformats.org/drawingml/2006/wordprocessingDrawing" distT="0" distB="0" distL="0" distR="0">
                <wp:extent cx="1585595" cy="920750"/>
                <wp:effectExtent l="0" t="0" r="0" b="0"/>
                <wp:docPr id="2" name="emc2-log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5595" cy="9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25" w:hRule="exact"/>
      </w:trPr>
      <w:tc>
        <w:tcPr>
          <w:tcW w:w="7200" w:type="dxa"/>
          <w:tcBorders>
            <w:top w:val="single" w:sz="18" w:space="0" w:color="2E74B5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</w:pPr>
        </w:p>
      </w:tc>
      <w:tc>
        <w:tcPr>
          <w:tcW w:w="2160" w:type="dxa"/>
          <w:vMerge/>
          <w:tcBorders>
            <w:top w:val="single" w:sz="18" w:space="0" w:color="2E74B5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</w:pP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