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i/>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auto"/>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auto"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1.289,40 €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1.289,40 €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- 8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Schließen der Fehlstellen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auto"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733,22 €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733,22 €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undefined</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undefined</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undefined</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undefined</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undefined</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undefined</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415"/>
        <w:gridCol w:w="2415"/>
      </w:tblGrid>
      <w:tr>
        <w:trPr>
          <w:trHeight w:val="1" w:hRule="atLeast"/>
          <w:jc w:val="left"/>
        </w:trPr>
        <w:tc>
          <w:tcPr>
            <w:tcW w:w="3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55"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Nettobetrag (ohne Rabatt)</w:t>
            </w:r>
          </w:p>
        </w:tc>
        <w:tc>
          <w:tcPr>
            <w:tcW w:w="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color w:val="auto"/>
                <w:spacing w:val="0"/>
                <w:position w:val="0"/>
                <w:sz w:val="22"/>
                <w:shd w:fill="auto" w:val="clear"/>
              </w:rPr>
              <w:t xml:space="preserve">3.058,02 €</w:t>
            </w:r>
          </w:p>
        </w:tc>
      </w:tr>
      <w:tr>
        <w:trPr>
          <w:trHeight w:val="1" w:hRule="atLeast"/>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5"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color w:val="auto"/>
                <w:spacing w:val="0"/>
                <w:position w:val="0"/>
                <w:sz w:val="22"/>
                <w:shd w:fill="auto" w:val="clear"/>
              </w:rPr>
              <w:t xml:space="preserve">8,20 €</w:t>
            </w:r>
          </w:p>
        </w:tc>
      </w:tr>
      <w:tr>
        <w:trPr>
          <w:trHeight w:val="1" w:hRule="atLeast"/>
          <w:jc w:val="left"/>
        </w:trPr>
        <w:tc>
          <w:tcPr>
            <w:tcW w:w="3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55"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zzgl. 19% MwSt.</w:t>
            </w:r>
          </w:p>
        </w:tc>
        <w:tc>
          <w:tcPr>
            <w:tcW w:w="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color w:val="auto"/>
                <w:spacing w:val="0"/>
                <w:position w:val="0"/>
                <w:sz w:val="22"/>
                <w:shd w:fill="auto" w:val="clear"/>
              </w:rPr>
              <w:t xml:space="preserve">581,02 €</w:t>
            </w:r>
          </w:p>
        </w:tc>
      </w:tr>
      <w:tr>
        <w:trPr>
          <w:trHeight w:val="1" w:hRule="atLeast"/>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5"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color w:val="auto"/>
                <w:spacing w:val="0"/>
                <w:position w:val="0"/>
                <w:sz w:val="22"/>
                <w:shd w:fill="auto" w:val="clear"/>
              </w:rPr>
              <w:t xml:space="preserve">3.639,04 €</w:t>
            </w:r>
          </w:p>
        </w:tc>
      </w:tr>
      <w:tr>
        <w:trPr>
          <w:trHeight w:val="1" w:hRule="atLeast"/>
          <w:jc w:val="left"/>
        </w:trPr>
        <w:tc>
          <w:tcPr>
            <w:tcW w:w="3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55"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Gesamtbetrag nach Materialrabatt</w:t>
            </w:r>
          </w:p>
        </w:tc>
        <w:tc>
          <w:tcPr>
            <w:tcW w:w="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color w:val="auto"/>
                <w:spacing w:val="0"/>
                <w:position w:val="0"/>
                <w:sz w:val="22"/>
                <w:shd w:fill="auto" w:val="clear"/>
              </w:rPr>
              <w:t xml:space="preserve">3.629,29 €</w:t>
            </w:r>
          </w:p>
        </w:tc>
      </w:tr>
    </w:tbl>
    <w:p>
      <w:pPr>
        <w:spacing w:before="83"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b/>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 Selbstkostenanteil beträgt </w:t>
      </w:r>
      <w:r>
        <w:rPr>
          <w:rFonts w:ascii="Open Sans" w:hAnsi="Open Sans" w:cs="Open Sans" w:eastAsia="Open Sans"/>
          <w:b/>
          <w:color w:val="030303"/>
          <w:spacing w:val="0"/>
          <w:position w:val="0"/>
          <w:sz w:val="22"/>
          <w:shd w:fill="auto" w:val="clear"/>
        </w:rPr>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1"/>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