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Frau</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Linda Carpenter</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Cum molestiae id au</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Quisquam aut vel con Cumque exercitatione</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ANG2026-0115-102036</w:t>
            </w:r>
            <w:r>
              <w:rPr>
                <w:rFonts w:ascii="Open Sans" w:eastAsia="Open Sans" w:hAnsi="Open Sans" w:cs="Open Sans"/>
                <w:color w:val="1F1F1F"/>
                <w:sz w:val="21"/>
                <w:szCs w:val="21"/>
              </w:rPr>
              <w:t/>
            </w:r>
            <w:r>
              <w:rPr>
                <w:rFonts w:ascii="Open Sans" w:eastAsia="Open Sans" w:hAnsi="Open Sans" w:cs="Open Sans"/>
                <w:sz w:val="22"/>
                <w:szCs w:val="22"/>
              </w:rPr>
              <w:t/>
            </w:r>
          </w:p>
          <w:p>
            <w:pPr>
              <w:pBdr/>
              <w:pStyle w:val="Normal"/>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19.05.1984</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sz w:val="22"/>
                <w:szCs w:val="22"/>
              </w:rPr>
              <w:t xml:space="preserve">Cameran Gibbs</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xml:space="preserve">Pariatur Quidem seq</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ANG2026-0115-102036</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Sehr geehrte Frau Carpenter,</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510"/>
        <w:gridCol w:w="885"/>
        <w:gridCol w:w="5865"/>
        <w:gridCol w:w="1440"/>
        <w:gridCol w:w="1245"/>
      </w:tblGrid>
      <w:tr>
        <w:tblPrEx>
          <w:tblBorders/>
          <w:tblCellMar>
            <w:top w:w="0" w:type="dxa"/>
            <w:left w:w="0" w:type="dxa"/>
            <w:bottom w:w="0" w:type="dxa"/>
            <w:right w:w="0" w:type="dxa"/>
          </w:tblCellMar>
        </w:tblPrEx>
        <w:trPr>
          <w:trHeight w:hRule="atLeast" w:val="1"/>
        </w:trPr>
        <w:tc>
          <w:tcPr>
            <w:tcW w:w="510"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88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586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40"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245"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510"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001</w:t>
            </w:r>
          </w:p>
        </w:tc>
        <w:tc>
          <w:tcPr>
            <w:tcW w:w="88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both"/>
              <w:rPr>
                <w:rFonts w:ascii="Arial" w:eastAsia="Arial" w:hAnsi="Arial" w:cs="Arial"/>
                <w:color w:val="000000"/>
                <w:sz w:val="20"/>
                <w:szCs w:val="18"/>
              </w:rPr>
            </w:pPr>
            <w:r>
              <w:rPr>
                <w:rFonts w:ascii="Arial" w:eastAsia="Arial" w:hAnsi="Arial" w:cs="Arial"/>
                <w:b/>
                <w:bCs/>
                <w:color w:val="000000"/>
                <w:sz w:val="20"/>
                <w:szCs w:val="18"/>
              </w:rPr>
              <w:t xml:space="preserve">Auszuführende Arbeiten</w:t>
            </w:r>
          </w:p>
        </w:tc>
        <w:tc>
          <w:tcPr>
            <w:tcW w:w="1440"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1.065,00 €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1.065,00 €</w:t>
            </w:r>
          </w:p>
        </w:tc>
      </w:tr>
      <w:tr>
        <w:tblPrEx>
          <w:tblBorders/>
          <w:tblCellMar>
            <w:top w:w="0" w:type="dxa"/>
            <w:left w:w="0" w:type="dxa"/>
            <w:bottom w:w="0" w:type="dxa"/>
            <w:right w:w="0" w:type="dxa"/>
          </w:tblCellMar>
        </w:tblPrEx>
        <w:trPr>
          <w:trHeight w:hRule="atLeast" w:val="174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Arial" w:eastAsia="Arial" w:hAnsi="Arial" w:cs="Arial"/>
                <w:color w:val="070707"/>
                <w:sz w:val="20"/>
                <w:szCs w:val="20"/>
              </w:rPr>
            </w:pPr>
          </w:p>
          <w:p>
            <w:pPr>
              <w:pBdr/>
              <w:pStyle w:val="normal1"/>
              <w:spacing w:before="0" w:after="0"/>
              <w:ind/>
              <w:jc w:val="center"/>
              <w:rPr>
                <w:rFonts w:ascii="Arial" w:eastAsia="Arial" w:hAnsi="Arial" w:cs="Arial"/>
                <w:sz w:val="22"/>
                <w:szCs w:val="22"/>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Herstellung des Fliesenspiegels</w:t>
            </w:r>
          </w:p>
          <w:p>
            <w:pPr>
              <w:pBdr/>
              <w:pStyle w:val="normal1"/>
              <w:spacing w:before="0" w:beforeAutospacing="false" w:after="0" w:afterAutospacing="false" w:line="278" w:lineRule="auto"/>
              <w:ind w:right="0"/>
              <w:jc w:val="left"/>
              <w:rPr>
                <w:rFonts w:ascii="Arial" w:eastAsia="Arial" w:hAnsi="Arial" w:cs="Arial"/>
                <w:color w:val="000000"/>
                <w:sz w:val="20"/>
                <w:szCs w:val="20"/>
              </w:rPr>
            </w:pP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Enthält je Einheit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Fahrzeugbereitstellung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Bereitstellung und Vorhaltung von Maschinen &amp; Werkzeugen</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Beräumung der Baustelle</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Arial" w:eastAsia="Arial" w:hAnsi="Arial" w:cs="Arial"/>
          <w:color w:val="070707"/>
          <w:sz w:val="20"/>
          <w:szCs w:val="20"/>
        </w:rPr>
      </w:pPr>
    </w:p>
    <w:tbl>
      <w:tblPr>
        <w:tblStyle w:val="Normal Table0"/>
        <w:tblW w:w="9945" w:type="dxa"/>
        <w:jc w:val="left"/>
        <w:tblInd w:w="1" w:type="dxa"/>
        <w:tblCellMar>
          <w:top w:w="0" w:type="dxa"/>
          <w:left w:w="56" w:type="dxa"/>
          <w:bottom w:w="0" w:type="dxa"/>
          <w:right w:w="56" w:type="dxa"/>
        </w:tblCellMar>
        <w:tblBorders/>
        <w:shd w:fill="auto" w:color="auto"/>
        <w:tblLayout w:type="fixed"/>
      </w:tblPr>
      <w:tblGrid>
        <w:gridCol w:w="510"/>
        <w:gridCol w:w="885"/>
        <w:gridCol w:w="5865"/>
        <w:gridCol w:w="1440"/>
        <w:gridCol w:w="1245"/>
      </w:tblGrid>
      <w:tr>
        <w:tblPrEx>
          <w:tblBorders/>
          <w:tblCellMar>
            <w:top w:w="0" w:type="dxa"/>
            <w:left w:w="56" w:type="dxa"/>
            <w:bottom w:w="0" w:type="dxa"/>
            <w:right w:w="56" w:type="dxa"/>
          </w:tblCellMar>
        </w:tblPrEx>
        <w:trPr>
          <w:trHeight w:hRule="atLeast" w:val="379"/>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002</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both"/>
              <w:tabs>
                <w:tab w:val="left" w:pos="6739.6002197265625"/>
                <w:tab w:val="left" w:pos="6907.60009765625"/>
              </w:tabs>
              <w:rPr>
                <w:rFonts w:ascii="Arial" w:eastAsia="Arial" w:hAnsi="Arial" w:cs="Arial"/>
                <w:color w:val="000000"/>
                <w:sz w:val="20"/>
                <w:szCs w:val="18"/>
              </w:rPr>
            </w:pPr>
            <w:r>
              <w:rPr>
                <w:rFonts w:ascii="Arial" w:eastAsia="Arial" w:hAnsi="Arial" w:cs="Arial"/>
                <w:b/>
                <w:bCs/>
                <w:color w:val="000000"/>
                <w:sz w:val="20"/>
                <w:szCs w:val="18"/>
              </w:rPr>
              <w:t xml:space="preserve">Material für Badumbau</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left="0" w:right="0"/>
              <w:jc w:val="center"/>
              <w:rPr>
                <w:rFonts w:ascii="Arial" w:eastAsia="Arial" w:hAnsi="Arial" w:cs="Arial"/>
                <w:color w:val="000000"/>
                <w:sz w:val="20"/>
                <w:szCs w:val="20"/>
              </w:rPr>
            </w:pPr>
            <w:r>
              <w:rPr>
                <w:rFonts w:ascii="Arial" w:eastAsia="Arial" w:hAnsi="Arial" w:cs="Arial"/>
                <w:color w:val="000000"/>
                <w:sz w:val="20"/>
                <w:szCs w:val="20"/>
              </w:rPr>
              <w:t xml:space="preserve">564,06 €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20"/>
                <w:szCs w:val="20"/>
              </w:rPr>
            </w:pPr>
            <w:r>
              <w:rPr>
                <w:rFonts w:ascii="Arial" w:eastAsia="Arial" w:hAnsi="Arial" w:cs="Arial"/>
                <w:sz w:val="20"/>
                <w:szCs w:val="20"/>
              </w:rPr>
              <w:t xml:space="preserve">564,06 €</w:t>
            </w: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Wannenabdichtband-Set 3,4 m Nass-/Trockenanbindung entspr. DIN 18534</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 TRINNITY</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Kleinmaterial</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Stelzlager höhenverstellar Set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Wandabdichtung BASIS-Set 5 qm DW bis 100 x 100 / BW bis 180 x 80 cm</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Pkg Flächenkleber (Wandverkleidung)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Abschlussprofil V3 255 cm silber eloxiert VIGOUR</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Ramsauer 450 Sanitär 1K Silicon Dichtstoff 310ml Kartusche weiß</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2843"/>
        <w:gridCol w:w="3249"/>
        <w:gridCol w:w="3853"/>
      </w:tblGrid>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Nettobetrag</w:t>
            </w:r>
          </w:p>
        </w:tc>
        <w:tc>
          <w:tcPr>
            <w:tcW w:w="1593"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p>
        </w:tc>
        <w:tc>
          <w:tcPr>
            <w:tcW w:w="1889"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1440" w:right="0"/>
              <w:jc w:val="right"/>
              <w:rPr>
                <w:color w:val="000000"/>
                <w:sz w:val="22"/>
              </w:rPr>
            </w:pPr>
            <w:r>
              <w:rPr>
                <w:rFonts w:ascii="Open Sans Semibold" w:eastAsia="Open Sans Semibold" w:hAnsi="Open Sans Semibold" w:cs="Open Sans Semibold"/>
                <w:b/>
                <w:bCs/>
                <w:color w:val="000000"/>
                <w:sz w:val="22"/>
                <w:szCs w:val="22"/>
              </w:rPr>
              <w:t xml:space="preserve">1.629,06 €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cccccc"/>
                <w:sz w:val="22"/>
                <w:szCs w:val="22"/>
              </w:rPr>
              <w:t xml:space="preserve">*</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left="0" w:right="0" w:firstLine="0"/>
              <w:jc w:val="both"/>
              <w:rPr>
                <w:rFonts w:ascii="Open Sans Semibold" w:eastAsia="Open Sans Semibold" w:hAnsi="Open Sans Semibold" w:cs="Open Sans Semibold"/>
                <w:b/>
                <w:bCs/>
                <w:color w:val="030303"/>
                <w:sz w:val="22"/>
                <w:szCs w:val="20"/>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zzgl. 19% MwSt.</w:t>
            </w:r>
          </w:p>
        </w:tc>
        <w:tc>
          <w:tcPr>
            <w:tcW w:w="1593" w:type="dxa"/>
            <w:tcMar>
              <w:top w:w="0" w:type="dxa"/>
              <w:left w:w="0" w:type="dxa"/>
              <w:bottom w:w="0" w:type="dxa"/>
              <w:right w:w="0" w:type="dxa"/>
            </w:tcMar>
            <w:tcBorders/>
            <w:shd w:fill="FFFFFF" w:color="auto" w:val="clear"/>
            <w:vAlign w:val="top"/>
          </w:tcPr>
          <w:p>
            <w:pPr>
              <w:pBdr/>
              <w:pStyle w:val="Normal"/>
              <w:spacing w:before="24" w:beforeAutospacing="false" w:after="24" w:afterAutospacing="false" w:line="240" w:lineRule="auto"/>
              <w:ind w:left="0" w:right="0" w:firstLine="0"/>
              <w:jc w:val="center"/>
              <w:rPr>
                <w:rFonts w:ascii="Open Sans" w:eastAsia="Open Sans" w:hAnsi="Open Sans" w:cs="Open Sans"/>
                <w:color w:val="000000"/>
                <w:sz w:val="22"/>
                <w:szCs w:val="22"/>
              </w:rPr>
            </w:pPr>
          </w:p>
        </w:tc>
        <w:tc>
          <w:tcPr>
            <w:tcW w:w="1889"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left="1440" w:right="0"/>
              <w:jc w:val="right"/>
              <w:rPr>
                <w:rFonts w:ascii="Open Sans Semibold" w:eastAsia="Open Sans Semibold" w:hAnsi="Open Sans Semibold" w:cs="Open Sans Semibold"/>
                <w:color w:val="000000"/>
                <w:sz w:val="22"/>
                <w:szCs w:val="22"/>
              </w:rPr>
            </w:pPr>
            <w:r>
              <w:rPr>
                <w:rFonts w:ascii="Open Sans" w:eastAsia="Open Sans" w:hAnsi="Open Sans" w:cs="Open Sans"/>
                <w:color w:val="000000"/>
                <w:sz w:val="22"/>
                <w:szCs w:val="22"/>
              </w:rPr>
              <w:t xml:space="preserve">309,52 €</w:t>
            </w:r>
            <w:r>
              <w:rPr>
                <w:rFonts w:ascii="Open Sans" w:eastAsia="Open Sans" w:hAnsi="Open Sans" w:cs="Open Sans"/>
                <w:b/>
                <w:color w:val="000000"/>
                <w:sz w:val="22"/>
                <w:szCs w:val="22"/>
              </w:rPr>
              <w:t/>
            </w:r>
            <w:r>
              <w:rPr>
                <w:rFonts w:ascii="Open Sans" w:eastAsia="Open Sans" w:hAnsi="Open Sans" w:cs="Open Sans"/>
                <w:color w:val="000000"/>
                <w:sz w:val="22"/>
                <w:szCs w:val="22"/>
              </w:rPr>
              <w:t/>
            </w:r>
            <w:r>
              <w:rPr>
                <w:rFonts w:ascii="Open Sans Semibold" w:eastAsia="Open Sans Semibold" w:hAnsi="Open Sans Semibold" w:cs="Open Sans Semibold"/>
                <w:b/>
                <w:bCs/>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ffffff"/>
                <w:sz w:val="22"/>
                <w:szCs w:val="22"/>
              </w:rPr>
              <w:t xml:space="preserve">*</w:t>
            </w:r>
            <w:r>
              <w:rPr>
                <w:rFonts w:ascii="Open Sans Semibold" w:eastAsia="Open Sans Semibold" w:hAnsi="Open Sans Semibold" w:cs="Open Sans Semibold"/>
                <w:color w:val="000000"/>
                <w:sz w:val="22"/>
                <w:szCs w:val="22"/>
              </w:rPr>
              <w:t/>
            </w:r>
          </w:p>
        </w:tc>
      </w:tr>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Gesamtsumme</w:t>
            </w:r>
          </w:p>
        </w:tc>
        <w:tc>
          <w:tcPr>
            <w:tcW w:w="1593"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p>
        </w:tc>
        <w:tc>
          <w:tcPr>
            <w:tcW w:w="1889"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1440" w:right="0"/>
              <w:jc w:val="right"/>
              <w:rPr>
                <w:color w:val="000000"/>
                <w:sz w:val="22"/>
              </w:rPr>
            </w:pPr>
            <w:r>
              <w:rPr>
                <w:rFonts w:ascii="Open Sans Semibold" w:eastAsia="Open Sans Semibold" w:hAnsi="Open Sans Semibold" w:cs="Open Sans Semibold"/>
                <w:b/>
                <w:bCs/>
                <w:color w:val="000000"/>
                <w:sz w:val="22"/>
                <w:szCs w:val="22"/>
              </w:rPr>
              <w:t xml:space="preserve">1.938,58 €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cccccc"/>
                <w:sz w:val="22"/>
                <w:szCs w:val="22"/>
              </w:rPr>
              <w:t xml:space="preserve">*</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p>
      <w:pPr>
        <w:pBdr/>
        <w:pStyle w:val="Normal"/>
        <w:spacing/>
        <w:ind w:left="125"/>
        <w:rPr>
          <w:rFonts w:ascii="Open Sans" w:eastAsia="Open Sans" w:hAnsi="Open Sans" w:cs="Open Sans"/>
          <w:color w:val="000000"/>
          <w:sz w:val="22"/>
        </w:rPr>
      </w:pPr>
      <w:r>
        <w:rPr>
          <w:rFonts w:ascii="Open Sans" w:eastAsia="Open Sans" w:hAnsi="Open Sans" w:cs="Open Sans"/>
          <w:color w:val="030303"/>
          <w:sz w:val="22"/>
        </w:rPr>
        <w:t xml:space="preserve">Es handelt sich hierbei um ein Festpreisangebot für die oben definierten Leistungen.</w:t>
      </w:r>
    </w:p>
    <w:p>
      <w:pPr>
        <w:pBdr/>
        <w:pStyle w:val="normal1"/>
        <w:spacing w:before="23" w:after="0"/>
        <w:ind/>
        <w:rPr>
          <w:rFonts w:ascii="Open Sans" w:eastAsia="Open Sans" w:hAnsi="Open Sans" w:cs="Open Sans"/>
          <w:color w:val="000000"/>
          <w:sz w:val="22"/>
        </w:rPr>
      </w:pPr>
    </w:p>
    <w:p>
      <w:pPr>
        <w:pBdr/>
        <w:pStyle w:val="Normal"/>
        <w:spacing w:line="286" w:lineRule="auto"/>
        <w:ind w:left="123"/>
        <w:rPr>
          <w:rFonts w:ascii="Open Sans" w:eastAsia="Open Sans" w:hAnsi="Open Sans" w:cs="Open Sans"/>
          <w:color w:val="000000"/>
          <w:sz w:val="22"/>
        </w:rPr>
      </w:pPr>
      <w:r>
        <w:rPr>
          <w:rFonts w:ascii="Open Sans Semibold" w:eastAsia="Open Sans Semibold" w:hAnsi="Open Sans Semibold" w:cs="Open Sans Semibold"/>
          <w:color w:val="030303"/>
          <w:sz w:val="22"/>
        </w:rPr>
        <w:t xml:space="preserve">ACHTUNG:</w:t>
      </w:r>
      <w:r>
        <w:rPr>
          <w:rFonts w:ascii="Open Sans" w:eastAsia="Open Sans" w:hAnsi="Open Sans" w:cs="Open Sans"/>
          <w:color w:val="030303"/>
          <w:sz w:val="22"/>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sz w:val="22"/>
        </w:rPr>
        <w:t/>
      </w:r>
      <w:r>
        <w:rPr>
          <w:sz w:val="22"/>
        </w:rPr>
        <w:br/>
      </w:r>
    </w:p>
    <w:p>
      <w:pPr>
        <w:pBdr/>
        <w:pStyle w:val="Normal"/>
        <w:spacing w:line="283" w:lineRule="auto"/>
        <w:ind w:left="125" w:right="1024"/>
        <w:rPr>
          <w:rFonts w:ascii="Open Sans" w:eastAsia="Open Sans" w:hAnsi="Open Sans" w:cs="Open Sans"/>
          <w:b w:val="0"/>
          <w:i w:val="0"/>
          <w:iCs w:val="0"/>
          <w:color w:val="030303"/>
          <w:sz w:val="22"/>
        </w:rPr>
      </w:pPr>
      <w:r>
        <w:rPr>
          <w:rFonts w:ascii="Open Sans" w:eastAsia="Open Sans" w:hAnsi="Open Sans" w:cs="Open Sans"/>
          <w:color w:val="030303"/>
          <w:sz w:val="22"/>
        </w:rPr>
        <w:t xml:space="preserve">Diese werden vorab mit Ihnen besprochen, bedürfen lhrer Zustimmung und werden auf Regiebasis nach tatsächlichem Aufwand abgerechnet. (Stundensatz-</w:t>
      </w:r>
      <w:r>
        <w:rPr>
          <w:rFonts w:ascii="Open Sans" w:eastAsia="Open Sans" w:hAnsi="Open Sans" w:cs="Open Sans"/>
          <w:color w:val="030303"/>
          <w:sz w:val="22"/>
        </w:rPr>
        <w:t xml:space="preserve">Facharbeiter: 69,50€ netto)</w:t>
      </w:r>
      <w:r>
        <w:rPr>
          <w:rFonts w:ascii="Open Sans" w:eastAsia="Open Sans" w:hAnsi="Open Sans" w:cs="Open Sans"/>
          <w:color w:val="030303"/>
          <w:sz w:val="22"/>
        </w:rPr>
        <w:t/>
      </w:r>
    </w:p>
    <w:p>
      <w:pPr>
        <w:pBdr/>
        <w:pStyle w:val="Normal"/>
        <w:spacing w:line="283" w:lineRule="auto"/>
        <w:ind w:left="125" w:right="1024"/>
        <w:rPr>
          <w:rFonts w:ascii="Open Sans" w:eastAsia="Open Sans" w:hAnsi="Open Sans" w:cs="Open Sans"/>
          <w:b/>
          <w:bCs/>
          <w:i/>
          <w:iCs/>
          <w:color w:val="030303"/>
          <w:sz w:val="22"/>
        </w:rPr>
      </w:pPr>
      <w:r>
        <w:rPr>
          <w:sz w:val="22"/>
        </w:rPr>
        <w:t/>
      </w:r>
      <w:r>
        <w:rPr>
          <w:sz w:val="22"/>
        </w:rPr>
        <w:br/>
      </w:r>
      <w:r>
        <w:rPr>
          <w:sz w:val="22"/>
        </w:rPr>
        <w:t/>
      </w:r>
      <w:r>
        <w:rPr>
          <w:b/>
          <w:sz w:val="22"/>
        </w:rPr>
        <w:t xml:space="preserve">Zahlungsbedingungen für den Selbstkostenanteil:</w:t>
      </w:r>
      <w:r>
        <w:rPr>
          <w:sz w:val="22"/>
        </w:rPr>
        <w:t/>
      </w:r>
      <w:r>
        <w:rPr>
          <w:sz w:val="22"/>
        </w:rPr>
        <w:br/>
      </w:r>
      <w:r>
        <w:rPr>
          <w:sz w:val="22"/>
        </w:rPr>
        <w:t xml:space="preserve">100 % sofort bei Auftragsbestätigung – ohne Abzug</w:t>
      </w:r>
      <w:r>
        <w:rPr>
          <w:sz w:val="22"/>
        </w:rPr>
        <w:br/>
      </w:r>
      <w:r>
        <w:rPr>
          <w:sz w:val="22"/>
        </w:rPr>
        <w:t xml:space="preserve">Für die Anzahlung wird eine Anzahlungsrechnung erstellt. Die Überweisung darf erst nach Erhalt dieser Rechnung erfolgen.</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sz w:val="22"/>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