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1"/>
        <w:spacing w:before="171" w:after="0"/>
        <w:ind/>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TableNormal"/>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Richard Odonnell</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Est dolore repellen</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Neque libero cumque  Enim dolore beatae i</w:t>
            </w:r>
          </w:p>
        </w:tc>
        <w:tc>
          <w:tcPr>
            <w:tcW w:w="226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1"/>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ANG2025-1128-081946</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1"/>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18.10.1988</w:t>
            </w:r>
            <w:r>
              <w:rPr>
                <w:rFonts w:ascii="Open Sans" w:eastAsia="Open Sans" w:hAnsi="Open Sans" w:cs="Open Sans"/>
                <w:color w:val="1F1F1F"/>
                <w:sz w:val="21"/>
                <w:szCs w:val="21"/>
              </w:rPr>
              <w:t/>
            </w:r>
            <w:r>
              <w:rPr>
                <w:rFonts w:ascii="Open Sans" w:eastAsia="Open Sans" w:hAnsi="Open Sans" w:cs="Open Sans"/>
                <w:sz w:val="22"/>
                <w:szCs w:val="22"/>
              </w:rPr>
              <w:t/>
            </w:r>
            <w:r>
              <w:rPr>
                <w:rFonts w:ascii="Open Sans" w:eastAsia="Open Sans" w:hAnsi="Open Sans" w:cs="Open Sans"/>
                <w:color w:val="1F1F1F"/>
                <w:sz w:val="21"/>
                <w:szCs w:val="21"/>
              </w:rPr>
              <w:br/>
            </w:r>
            <w:r>
              <w:rPr>
                <w:rFonts w:ascii="Open Sans" w:eastAsia="Open Sans" w:hAnsi="Open Sans" w:cs="Open Sans"/>
                <w:sz w:val="22"/>
                <w:szCs w:val="22"/>
              </w:rPr>
              <w:t xml:space="preserve">Amal Keller</w:t>
            </w:r>
            <w:r>
              <w:rPr>
                <w:rFonts w:ascii="Open Sans" w:eastAsia="Open Sans" w:hAnsi="Open Sans" w:cs="Open Sans"/>
                <w:color w:val="1F1F1F"/>
                <w:sz w:val="21"/>
                <w:szCs w:val="21"/>
              </w:rPr>
              <w:t/>
            </w:r>
            <w:r>
              <w:rPr>
                <w:rFonts w:ascii="Open Sans" w:eastAsia="Open Sans" w:hAnsi="Open Sans" w:cs="Open Sans"/>
                <w:sz w:val="22"/>
                <w:szCs w:val="22"/>
              </w:rPr>
              <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1"/>
              <w:spacing w:before="0" w:after="0"/>
              <w:ind w:right="127"/>
              <w:jc w:val="left"/>
              <w:rPr>
                <w:rFonts w:ascii="Open Sans" w:eastAsia="Open Sans" w:hAnsi="Open Sans" w:cs="Open Sans"/>
                <w:color w:val="070707"/>
                <w:sz w:val="17"/>
                <w:szCs w:val="17"/>
              </w:rPr>
            </w:pPr>
            <w:r>
              <w:rPr>
                <w:rFonts w:ascii="Open Sans" w:eastAsia="Open Sans" w:hAnsi="Open Sans" w:cs="Open Sans"/>
                <w:b/>
                <w:color w:val="1F1F1F"/>
                <w:sz w:val="21"/>
                <w:szCs w:val="21"/>
              </w:rPr>
              <w:t xml:space="preserve">Referenz</w:t>
            </w:r>
            <w:r>
              <w:rPr>
                <w:rFonts w:ascii="Open Sans" w:eastAsia="Open Sans" w:hAnsi="Open Sans" w:cs="Open Sans"/>
                <w:b/>
                <w:color w:val="1F1F1F"/>
                <w:sz w:val="21"/>
                <w:szCs w:val="21"/>
              </w:rPr>
              <w:br/>
            </w:r>
            <w:r>
              <w:rPr>
                <w:rFonts w:ascii="Open Sans" w:eastAsia="Open Sans" w:hAnsi="Open Sans" w:cs="Open Sans"/>
                <w:sz w:val="22"/>
                <w:szCs w:val="22"/>
              </w:rPr>
              <w:t xml:space="preserve">963</w:t>
            </w:r>
          </w:p>
        </w:tc>
      </w:tr>
    </w:tbl>
    <w:p>
      <w:pPr>
        <w:pBdr/>
        <w:pStyle w:val="normal1"/>
        <w:spacing/>
        <w:ind/>
        <w:rPr>
          <w:rFonts w:ascii="Open Sans" w:eastAsia="Open Sans" w:hAnsi="Open Sans" w:cs="Open Sans"/>
          <w:color w:val="000000"/>
        </w:rPr>
      </w:pPr>
    </w:p>
    <w:p>
      <w:pPr>
        <w:pBdr/>
        <w:pStyle w:val="normal1"/>
        <w:spacing w:before="156" w:after="0"/>
        <w:ind/>
        <w:rPr>
          <w:rFonts w:ascii="arial" w:eastAsia="arial" w:hAnsi="arial" w:cs="arial"/>
          <w:b/>
          <w:color w:val="000000"/>
          <w:sz w:val="24"/>
          <w:szCs w:val="24"/>
        </w:rPr>
      </w:pPr>
      <w:r>
        <w:rPr>
          <w:rFonts w:ascii="arial" w:eastAsia="arial" w:hAnsi="arial" w:cs="arial"/>
          <w:b/>
          <w:color w:val="000000"/>
          <w:sz w:val="24"/>
          <w:szCs w:val="24"/>
        </w:rPr>
        <w:t xml:space="preserve">  Ihr Angebot ANG2025-1128-081946</w:t>
      </w:r>
    </w:p>
    <w:p>
      <w:pPr>
        <w:pBdr/>
        <w:pStyle w:val="normal1"/>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Odonnell,</w:t>
      </w:r>
      <w:r>
        <w:rPr>
          <w:rFonts w:ascii="Open Sans" w:eastAsia="Open Sans" w:hAnsi="Open Sans" w:cs="Open Sans"/>
          <w:color w:val="000000"/>
        </w:rPr>
        <w:br/>
      </w:r>
    </w:p>
    <w:p>
      <w:pPr>
        <w:pBdr/>
        <w:pStyle w:val="normal1"/>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rFonts w:ascii="Open Sans" w:eastAsia="Open Sans" w:hAnsi="Open Sans" w:cs="Open Sans"/>
          <w:color w:val="070707"/>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10035" w:type="dxa"/>
        <w:jc w:val="left"/>
        <w:tblInd w:w="1" w:type="dxa"/>
        <w:tblCellMar>
          <w:top w:w="0" w:type="dxa"/>
          <w:left w:w="0" w:type="dxa"/>
          <w:bottom w:w="0" w:type="dxa"/>
          <w:right w:w="0" w:type="dxa"/>
        </w:tblCellMar>
        <w:tblBorders/>
        <w:shd w:fill="auto" w:color="auto"/>
        <w:tblLayout w:type="fixed"/>
      </w:tblPr>
      <w:tblGrid>
        <w:gridCol w:w="428"/>
        <w:gridCol w:w="789"/>
        <w:gridCol w:w="6331"/>
        <w:gridCol w:w="1415"/>
        <w:gridCol w:w="1072"/>
      </w:tblGrid>
      <w:tr>
        <w:tblPrEx>
          <w:tblBorders/>
          <w:tblCellMar>
            <w:top w:w="0" w:type="dxa"/>
            <w:left w:w="0" w:type="dxa"/>
            <w:bottom w:w="0" w:type="dxa"/>
            <w:right w:w="0" w:type="dxa"/>
          </w:tblCellMar>
        </w:tblPrEx>
        <w:trPr>
          <w:trHeight w:hRule="atLeast" w:val="1"/>
        </w:trPr>
        <w:tc>
          <w:tcPr>
            <w:tcW w:w="428" w:type="dxa"/>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789" w:type="dxa"/>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6332" w:type="dxa"/>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15" w:type="dxa"/>
            <w:tcBorders/>
            <w:shd w:fill="CCCCCC" w:color="auto" w:val="clear"/>
            <w:vAlign w:val="top"/>
          </w:tcPr>
          <w:p>
            <w:pPr>
              <w:pBdr/>
              <w:pStyle w:val="normal1"/>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072" w:type="dxa"/>
            <w:tcBorders/>
            <w:shd w:fill="CCCCCC" w:color="auto" w:val="clear"/>
            <w:vAlign w:val="top"/>
          </w:tcPr>
          <w:p>
            <w:pPr>
              <w:pBdr/>
              <w:pStyle w:val="normal1"/>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428"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001</w:t>
            </w:r>
          </w:p>
        </w:tc>
        <w:tc>
          <w:tcPr>
            <w:tcW w:w="789"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1 Stk</w:t>
            </w:r>
          </w:p>
        </w:tc>
        <w:tc>
          <w:tcPr>
            <w:tcW w:w="6332"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both"/>
              <w:rPr>
                <w:color w:val="000000"/>
                <w:sz w:val="18"/>
              </w:rPr>
            </w:pPr>
            <w:r>
              <w:rPr>
                <w:rFonts w:ascii="arial" w:eastAsia="arial" w:hAnsi="arial" w:cs="arial"/>
                <w:b/>
                <w:color w:val="000000"/>
                <w:sz w:val="18"/>
                <w:szCs w:val="20"/>
              </w:rPr>
              <w:t xml:space="preserve">Auszuführende Arbeiten</w:t>
            </w:r>
          </w:p>
        </w:tc>
        <w:tc>
          <w:tcPr>
            <w:tcW w:w="1415"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1.065,00 €</w:t>
            </w:r>
          </w:p>
        </w:tc>
        <w:tc>
          <w:tcPr>
            <w:tcW w:w="1072"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1.065,00 €</w:t>
            </w:r>
          </w:p>
        </w:tc>
      </w:tr>
      <w:tr>
        <w:tblPrEx>
          <w:tblBorders/>
          <w:tblCellMar>
            <w:top w:w="0" w:type="dxa"/>
            <w:left w:w="0" w:type="dxa"/>
            <w:bottom w:w="0" w:type="dxa"/>
            <w:right w:w="0" w:type="dxa"/>
          </w:tblCellMar>
        </w:tblPrEx>
        <w:trPr>
          <w:trHeight w:hRule="atLeast" w:val="1741"/>
        </w:trPr>
        <w:tc>
          <w:tcPr>
            <w:tcW w:w="428"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Open Sans" w:eastAsia="Open Sans" w:hAnsi="Open Sans" w:cs="Open Sans"/>
                <w:color w:val="070707"/>
                <w:sz w:val="20"/>
                <w:szCs w:val="20"/>
              </w:rPr>
            </w:pPr>
          </w:p>
          <w:p>
            <w:pPr>
              <w:pBdr/>
              <w:pStyle w:val="normal1"/>
              <w:spacing w:before="0" w:after="0"/>
              <w:ind/>
              <w:jc w:val="center"/>
              <w:rPr>
                <w:rFonts w:ascii="Calibri" w:eastAsia="Calibri" w:hAnsi="Calibri" w:cs="Calibri"/>
                <w:sz w:val="22"/>
                <w:szCs w:val="22"/>
              </w:rPr>
            </w:pPr>
          </w:p>
        </w:tc>
        <w:tc>
          <w:tcPr>
            <w:tcW w:w="789"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color w:val="000000"/>
              </w:rPr>
            </w:pPr>
          </w:p>
        </w:tc>
        <w:tc>
          <w:tcPr>
            <w:tcW w:w="6332"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color w:val="000000"/>
                <w:sz w:val="20"/>
                <w:szCs w:val="20"/>
              </w:rPr>
            </w:pP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Enthält je Einheit</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- 1,00 Stk Fahrzeugbereitstellung</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- 1,00 Stk Bereitstellung und Vorhaltung von Maschinen &amp; Werkzeugen</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- 1,00 Stk Beräumung der Baustelle</w:t>
            </w:r>
          </w:p>
        </w:tc>
        <w:tc>
          <w:tcPr>
            <w:tcW w:w="141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color w:val="000000"/>
              </w:rPr>
            </w:pPr>
          </w:p>
        </w:tc>
        <w:tc>
          <w:tcPr>
            <w:tcW w:w="1072"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10050" w:type="dxa"/>
        <w:jc w:val="left"/>
        <w:tblInd w:w="1" w:type="dxa"/>
        <w:tblCellMar>
          <w:top w:w="0" w:type="dxa"/>
          <w:left w:w="56" w:type="dxa"/>
          <w:bottom w:w="0" w:type="dxa"/>
          <w:right w:w="56" w:type="dxa"/>
        </w:tblCellMar>
        <w:tblBorders/>
        <w:shd w:fill="auto" w:color="auto"/>
        <w:tblLayout w:type="fixed"/>
      </w:tblPr>
      <w:tblGrid>
        <w:gridCol w:w="425"/>
        <w:gridCol w:w="789"/>
        <w:gridCol w:w="6342"/>
        <w:gridCol w:w="1417"/>
        <w:gridCol w:w="1077"/>
      </w:tblGrid>
      <w:tr>
        <w:tblPrEx>
          <w:tblBorders/>
          <w:tblCellMar>
            <w:top w:w="0" w:type="dxa"/>
            <w:left w:w="56" w:type="dxa"/>
            <w:bottom w:w="0" w:type="dxa"/>
            <w:right w:w="56" w:type="dxa"/>
          </w:tblCellMar>
        </w:tblPrEx>
        <w:trPr>
          <w:trHeight w:hRule="atLeast" w:val="379"/>
        </w:trPr>
        <w:tc>
          <w:tcPr>
            <w:tcW w:w="425"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002</w:t>
            </w:r>
          </w:p>
        </w:tc>
        <w:tc>
          <w:tcPr>
            <w:tcW w:w="789"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1 Stk</w:t>
            </w:r>
          </w:p>
        </w:tc>
        <w:tc>
          <w:tcPr>
            <w:tcW w:w="6342"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both"/>
              <w:tabs>
                <w:tab w:val="left" w:pos="6739.6002197265625"/>
                <w:tab w:val="left" w:pos="6907.60009765625"/>
              </w:tabs>
              <w:rPr>
                <w:color w:val="000000"/>
                <w:sz w:val="18"/>
              </w:rPr>
            </w:pPr>
            <w:r>
              <w:rPr>
                <w:rFonts w:ascii="arial" w:eastAsia="arial" w:hAnsi="arial" w:cs="arial"/>
                <w:b/>
                <w:color w:val="000000"/>
                <w:sz w:val="18"/>
                <w:szCs w:val="20"/>
              </w:rPr>
              <w:t xml:space="preserve">Material für Badumbau</w:t>
            </w:r>
          </w:p>
        </w:tc>
        <w:tc>
          <w:tcPr>
            <w:tcW w:w="1417"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left="0" w:right="0"/>
              <w:jc w:val="center"/>
              <w:rPr>
                <w:rFonts w:ascii="Arial" w:eastAsia="Arial" w:hAnsi="Arial" w:cs="Arial"/>
                <w:color w:val="000000"/>
                <w:sz w:val="20"/>
              </w:rPr>
            </w:pPr>
            <w:r>
              <w:rPr>
                <w:rFonts w:ascii="Arial" w:eastAsia="Arial" w:hAnsi="Arial" w:cs="Arial"/>
                <w:color w:val="000000"/>
                <w:sz w:val="20"/>
                <w:szCs w:val="20"/>
              </w:rPr>
              <w:t xml:space="preserve">585,43 €</w:t>
            </w:r>
          </w:p>
        </w:tc>
        <w:tc>
          <w:tcPr>
            <w:tcW w:w="1077"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20"/>
                <w:szCs w:val="22"/>
              </w:rPr>
            </w:pPr>
            <w:r>
              <w:rPr>
                <w:rFonts w:ascii="Arial" w:eastAsia="Arial" w:hAnsi="Arial" w:cs="Arial"/>
                <w:sz w:val="20"/>
                <w:szCs w:val="22"/>
              </w:rPr>
              <w:t xml:space="preserve">585,43 €</w:t>
            </w:r>
          </w:p>
        </w:tc>
      </w:tr>
      <w:tr>
        <w:tblPrEx>
          <w:tblBorders/>
          <w:tblCellMar>
            <w:top w:w="0" w:type="dxa"/>
            <w:left w:w="56" w:type="dxa"/>
            <w:bottom w:w="0" w:type="dxa"/>
            <w:right w:w="56" w:type="dxa"/>
          </w:tblCellMar>
        </w:tblPrEx>
        <w:trPr>
          <w:trHeight w:hRule="atLeast" w:val="1"/>
        </w:trPr>
        <w:tc>
          <w:tcPr>
            <w:tcW w:w="425" w:type="dxa"/>
            <w:tcBorders>
              <w:top w:val="nil"/>
              <w:left w:val="nil"/>
              <w:bottom w:val="nil"/>
              <w:right w:val="nil"/>
            </w:tcBorders>
            <w:shd w:fill="FFFFFF" w:color="auto" w:val="clear"/>
            <w:vAlign w:val="top"/>
          </w:tcPr>
          <w:p>
            <w:pPr>
              <w:pBdr/>
              <w:pStyle w:val="normal1"/>
              <w:spacing w:before="0" w:after="0"/>
              <w:ind/>
              <w:jc w:val="center"/>
              <w:rPr>
                <w:color w:val="000000"/>
              </w:rPr>
            </w:pPr>
          </w:p>
        </w:tc>
        <w:tc>
          <w:tcPr>
            <w:tcW w:w="789" w:type="dxa"/>
            <w:tcBorders>
              <w:top w:val="nil"/>
              <w:left w:val="nil"/>
              <w:bottom w:val="nil"/>
              <w:right w:val="nil"/>
            </w:tcBorders>
            <w:shd w:fill="FFFFFF" w:color="auto" w:val="clear"/>
            <w:vAlign w:val="top"/>
          </w:tcPr>
          <w:p>
            <w:pPr>
              <w:pBdr/>
              <w:pStyle w:val="normal1"/>
              <w:spacing w:before="0" w:after="0"/>
              <w:ind/>
              <w:jc w:val="center"/>
              <w:rPr>
                <w:color w:val="000000"/>
              </w:rPr>
            </w:pPr>
          </w:p>
        </w:tc>
        <w:tc>
          <w:tcPr>
            <w:tcW w:w="6342"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TRINNITY Wannenabdichtband-Set 3,4 m Nass-/Trockenanbindung entspr. DIN 18534</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Ablaufgarnitur Rohbauset m.Sifon BH60mm f.flache Duschw.m.90mm Ablauf TRINNITY</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Kleinmaterial</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Stelzlager höhenverstellar Set</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TRINNITY Wandabdichtung BASIS-Set 5 qm DW bis 100 x 100 / BW bis 180 x 80 cm</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Pkg Flächenkleber (Wandverkleidung)</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Abschlussprofil 3.0 255 cm silber eloxiert VIGOUR</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CARE Sanitär Silikon Weiß 310ml</w:t>
            </w:r>
          </w:p>
        </w:tc>
        <w:tc>
          <w:tcPr>
            <w:tcW w:w="1417" w:type="dxa"/>
            <w:tcBorders>
              <w:top w:val="nil"/>
              <w:left w:val="nil"/>
              <w:bottom w:val="nil"/>
              <w:right w:val="nil"/>
            </w:tcBorders>
            <w:shd w:fill="FFFFFF" w:color="auto" w:val="clear"/>
            <w:vAlign w:val="top"/>
          </w:tcPr>
          <w:p>
            <w:pPr>
              <w:pBdr/>
              <w:pStyle w:val="normal1"/>
              <w:spacing w:before="0" w:after="0" w:line="278" w:lineRule="auto"/>
              <w:ind w:right="314"/>
              <w:jc w:val="center"/>
              <w:rPr>
                <w:color w:val="000000"/>
              </w:rPr>
            </w:pPr>
          </w:p>
        </w:tc>
        <w:tc>
          <w:tcPr>
            <w:tcW w:w="1077" w:type="dxa"/>
            <w:tcBorders>
              <w:top w:val="nil"/>
              <w:left w:val="nil"/>
              <w:bottom w:val="nil"/>
              <w:right w:val="nil"/>
            </w:tcBorders>
            <w:shd w:fill="FFFFFF" w:color="auto" w:val="clear"/>
            <w:vAlign w:val="center"/>
          </w:tcPr>
          <w:p>
            <w:pPr>
              <w:pBdr/>
              <w:pStyle w:val="normal1"/>
              <w:spacing w:before="0" w:after="0" w:line="278" w:lineRule="auto"/>
              <w:ind w:right="314"/>
              <w:jc w:val="center"/>
              <w:rPr>
                <w:color w:val="000000"/>
              </w:rPr>
            </w:pPr>
          </w:p>
        </w:tc>
      </w:tr>
      <w:tr>
        <w:tblPrEx>
          <w:tblBorders/>
          <w:tblCellMar>
            <w:top w:w="0" w:type="dxa"/>
            <w:left w:w="56" w:type="dxa"/>
            <w:bottom w:w="0" w:type="dxa"/>
            <w:right w:w="56" w:type="dxa"/>
          </w:tblCellMar>
        </w:tblPrEx>
        <w:trPr>
          <w:trHeight w:hRule="atLeast" w:val="1"/>
        </w:trPr>
        <w:tc>
          <w:tcPr>
            <w:tcW w:w="425" w:type="dxa"/>
            <w:tcBorders>
              <w:top w:val="nil"/>
              <w:left w:val="nil"/>
              <w:bottom w:val="nil"/>
              <w:right w:val="nil"/>
            </w:tcBorders>
            <w:shd w:fill="FFFFFF" w:color="auto" w:val="clear"/>
            <w:vAlign w:val="top"/>
          </w:tcPr>
          <w:p>
            <w:pPr>
              <w:pBdr/>
              <w:pStyle w:val="normal1"/>
              <w:spacing w:before="0" w:after="0" w:line="278" w:lineRule="auto"/>
              <w:ind w:right="-26"/>
              <w:jc w:val="center"/>
              <w:rPr>
                <w:color w:val="000000"/>
                <w:sz w:val="18"/>
              </w:rPr>
            </w:pPr>
            <w:r>
              <w:rPr>
                <w:rFonts w:ascii="Open Sans" w:eastAsia="Open Sans" w:hAnsi="Open Sans" w:cs="Open Sans"/>
                <w:color w:val="000000"/>
                <w:sz w:val="18"/>
                <w:szCs w:val="20"/>
              </w:rPr>
              <w:t xml:space="preserve">003</w:t>
            </w:r>
          </w:p>
        </w:tc>
        <w:tc>
          <w:tcPr>
            <w:tcW w:w="789"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color w:val="000000"/>
                <w:sz w:val="18"/>
              </w:rPr>
            </w:pPr>
            <w:r>
              <w:rPr>
                <w:rFonts w:ascii="Open Sans" w:eastAsia="Open Sans" w:hAnsi="Open Sans" w:cs="Open Sans"/>
                <w:color w:val="000000"/>
                <w:sz w:val="18"/>
                <w:szCs w:val="20"/>
              </w:rPr>
              <w:t xml:space="preserve">1 Stk</w:t>
            </w:r>
          </w:p>
        </w:tc>
        <w:tc>
          <w:tcPr>
            <w:tcW w:w="6342"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Open Sans" w:eastAsia="Open Sans" w:hAnsi="Open Sans" w:cs="Open Sans"/>
                <w:b/>
                <w:color w:val="000000"/>
                <w:sz w:val="20"/>
                <w:szCs w:val="20"/>
              </w:rPr>
            </w:pPr>
            <w:r>
              <w:rPr>
                <w:rFonts w:ascii="Open Sans" w:eastAsia="Open Sans" w:hAnsi="Open Sans" w:cs="Open Sans"/>
                <w:b/>
                <w:color w:val="000000"/>
                <w:sz w:val="20"/>
                <w:szCs w:val="20"/>
              </w:rPr>
              <w:t xml:space="preserve">Aktion: Haltegriff</w:t>
            </w:r>
          </w:p>
          <w:p>
            <w:pPr>
              <w:pBdr/>
              <w:pStyle w:val="normal1"/>
              <w:spacing w:before="0" w:beforeAutospacing="false" w:after="0" w:afterAutospacing="false" w:line="278" w:lineRule="auto"/>
              <w:ind w:right="0"/>
              <w:jc w:val="left"/>
              <w:rPr>
                <w:color w:val="000000"/>
                <w:sz w:val="18"/>
                <w:szCs w:val="18"/>
              </w:rPr>
            </w:pPr>
            <w:r>
              <w:rPr>
                <w:rFonts w:ascii="Open Sans" w:eastAsia="Open Sans" w:hAnsi="Open Sans" w:cs="Open Sans"/>
                <w:color w:val="000000"/>
                <w:sz w:val="20"/>
                <w:szCs w:val="20"/>
              </w:rPr>
              <w:t xml:space="preserve">1 Haltegriff gratis im Wert von 175 € inkl. Lieferung und Montage</w:t>
            </w:r>
          </w:p>
        </w:tc>
        <w:tc>
          <w:tcPr>
            <w:tcW w:w="1417"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0,00 €</w:t>
            </w:r>
          </w:p>
        </w:tc>
        <w:tc>
          <w:tcPr>
            <w:tcW w:w="1077"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0,00 €</w:t>
            </w:r>
            <w:r>
              <w:rPr>
                <w:rFonts w:ascii="Arial" w:eastAsia="Arial" w:hAnsi="Arial" w:cs="Arial"/>
                <w:color w:val="000000"/>
                <w:sz w:val="20"/>
                <w:szCs w:val="20"/>
              </w:rPr>
              <w:t/>
            </w:r>
            <w:r>
              <w:rPr>
                <w:rFonts w:ascii="Arial" w:eastAsia="Arial" w:hAnsi="Arial" w:cs="Arial"/>
                <w:color w:val="000000"/>
                <w:sz w:val="20"/>
                <w:szCs w:val="20"/>
              </w:rPr>
              <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Description w:val=""/>
        <w:tblCaption w:val=""/>
        <w:tblW w:w="9549" w:type="dxa"/>
        <w:jc w:val="right"/>
        <w:tblInd w:w="0" w:type="dxa"/>
        <w:tblCellMar>
          <w:top w:w="0" w:type="dxa"/>
          <w:left w:w="100" w:type="dxa"/>
          <w:bottom w:w="0" w:type="dxa"/>
          <w:right w:w="0" w:type="dxa"/>
        </w:tblCellMar>
        <w:tblBorders>
          <w:top w:val="nil"/>
          <w:left w:val="nil"/>
          <w:bottom w:val="nil"/>
          <w:right w:val="nil"/>
          <w:insideH w:val="nil"/>
          <w:insideV w:val="nil"/>
        </w:tblBorders>
        <w:shd w:fill="auto" w:color="auto"/>
        <w:tblLayout w:type="fixed"/>
      </w:tblPr>
      <w:tblGrid>
        <w:gridCol w:w="16"/>
        <w:gridCol w:w="2371"/>
        <w:gridCol w:w="2387"/>
        <w:gridCol w:w="3482"/>
        <w:gridCol w:w="1293"/>
      </w:tblGrid>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Nettobetrag</w:t>
            </w:r>
          </w:p>
        </w:tc>
        <w:tc>
          <w:tcPr>
            <w:tcW w:w="2391"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color w:val="000000"/>
                <w:sz w:val="22"/>
                <w:szCs w:val="22"/>
              </w:rPr>
              <w:t xml:space="preserve">1.650,43 €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zzgl. 19% MwSt.</w:t>
            </w:r>
          </w:p>
        </w:tc>
        <w:tc>
          <w:tcPr>
            <w:tcW w:w="2391"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color w:val="000000"/>
                <w:sz w:val="22"/>
                <w:szCs w:val="22"/>
              </w:rPr>
              <w:t xml:space="preserve">313,58 €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Gesamtsumme</w:t>
            </w:r>
          </w:p>
        </w:tc>
        <w:tc>
          <w:tcPr>
            <w:tcW w:w="2391"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color w:val="000000"/>
                <w:sz w:val="22"/>
                <w:szCs w:val="22"/>
              </w:rPr>
              <w:t xml:space="preserve">1.964,01 €</w:t>
            </w:r>
            <w:r>
              <w:rPr>
                <w:rFonts w:ascii="Open Sans Semibold" w:eastAsia="Open Sans Semibold" w:hAnsi="Open Sans Semibold" w:cs="Open Sans Semibold"/>
                <w:color w:val="000000"/>
                <w:sz w:val="22"/>
                <w:szCs w:val="22"/>
              </w:rPr>
              <w:t/>
            </w:r>
          </w:p>
        </w:tc>
      </w:tr>
    </w:tbl>
    <w:p>
      <w:pPr>
        <w:pBdr/>
        <w:pStyle w:val="normal1"/>
        <w:spacing/>
        <w:ind/>
        <w:rPr>
          <w:rFonts w:ascii="Open Sans" w:eastAsia="Open Sans" w:hAnsi="Open Sans" w:cs="Open Sans"/>
          <w:color w:val="030303"/>
        </w:rPr>
      </w:pPr>
    </w:p>
    <w:p>
      <w:pPr>
        <w:pBdr/>
        <w:pStyle w:val="normal1"/>
        <w:spacing/>
        <w:ind w:left="125"/>
        <w:rPr>
          <w:rFonts w:ascii="Open Sans" w:eastAsia="Open Sans" w:hAnsi="Open Sans" w:cs="Open Sans"/>
          <w:color w:val="000000"/>
        </w:rPr>
      </w:pPr>
      <w:r>
        <w:rPr>
          <w:rFonts w:ascii="Open Sans" w:eastAsia="Open Sans" w:hAnsi="Open Sans" w:cs="Open Sans"/>
          <w:color w:val="030303"/>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rPr>
      </w:pPr>
    </w:p>
    <w:p>
      <w:pPr>
        <w:pBdr/>
        <w:pStyle w:val="normal1"/>
        <w:spacing w:line="286" w:lineRule="auto"/>
        <w:ind w:left="123"/>
        <w:rPr>
          <w:rFonts w:ascii="Open Sans" w:eastAsia="Open Sans" w:hAnsi="Open Sans" w:cs="Open Sans"/>
          <w:color w:val="000000"/>
        </w:rPr>
      </w:pPr>
      <w:r>
        <w:rPr>
          <w:rFonts w:ascii="Open Sans Semibold" w:eastAsia="Open Sans Semibold" w:hAnsi="Open Sans Semibold" w:cs="Open Sans Semibold"/>
          <w:color w:val="030303"/>
        </w:rPr>
        <w:t xml:space="preserve">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rPr>
        <w:br/>
      </w:r>
    </w:p>
    <w:p>
      <w:pPr>
        <w:pBdr/>
        <w:pStyle w:val="normal1"/>
        <w:spacing w:line="283" w:lineRule="auto"/>
        <w:ind w:left="125" w:right="1024"/>
        <w:rPr>
          <w:rFonts w:ascii="Open Sans" w:eastAsia="Open Sans" w:hAnsi="Open Sans" w:cs="Open Sans"/>
          <w:b/>
          <w:i/>
          <w:color w:val="030303"/>
        </w:rPr>
      </w:pPr>
      <w:r>
        <w:rPr>
          <w:rFonts w:ascii="Open Sans" w:eastAsia="Open Sans" w:hAnsi="Open Sans" w:cs="Open Sans"/>
          <w:color w:val="030303"/>
        </w:rPr>
        <w:t xml:space="preserve">Diese werden vorab mit Ihnen besprochen, bedürfen lhrer Zustimmung und werden auf Regiebasis nach tatsächlichem Aufwand abgerechnet. (Stundensatz-</w:t>
      </w:r>
      <w:r>
        <w:rPr>
          <w:rFonts w:ascii="Open Sans" w:eastAsia="Open Sans" w:hAnsi="Open Sans" w:cs="Open Sans"/>
          <w:color w:val="030303"/>
        </w:rPr>
        <w:t xml:space="preserve">Facharbeiter: 69,50€ netto)</w:t>
      </w:r>
    </w:p>
    <w:p>
      <w:pPr>
        <w:pBdr/>
        <w:pStyle w:val="normal1"/>
        <w:spacing w:before="224" w:after="0" w:line="288" w:lineRule="auto"/>
        <w:ind w:left="125"/>
        <w:rPr>
          <w:rFonts w:ascii="Open Sans" w:eastAsia="Open Sans" w:hAnsi="Open Sans" w:cs="Open Sans"/>
          <w:color w:val="030303"/>
        </w:rPr>
      </w:pPr>
      <w:r>
        <w:rPr>
          <w:rFonts w:ascii="Open Sans" w:eastAsia="Open Sans" w:hAnsi="Open Sans" w:cs="Open Sans"/>
          <w:color w:val="030303"/>
        </w:rPr>
        <w:t xml:space="preserve">Dieser wird bei Auftragsbestätigung vorab fällig.</w:t>
      </w:r>
    </w:p>
    <w:p>
      <w:pPr>
        <w:pBdr/>
        <w:pStyle w:val="normal1"/>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1"/>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1"/>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rFonts w:ascii="Open Sans" w:eastAsia="Open Sans" w:hAnsi="Open Sans" w:cs="Open Sans"/>
        </w:rPr>
        <w:br/>
      </w:r>
      <w:r>
        <w:rPr>
          <w:rFonts w:ascii="Open Sans" w:eastAsia="Open Sans" w:hAnsi="Open Sans" w:cs="Open Sans"/>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1"/>
        <w:spacing w:before="67" w:after="0" w:line="276" w:lineRule="auto"/>
        <w:ind/>
        <w:rPr>
          <w:rFonts w:ascii="Open Sans" w:eastAsia="Open Sans" w:hAnsi="Open Sans" w:cs="Open Sans"/>
          <w:color w:val="030303"/>
        </w:rPr>
      </w:pPr>
      <w:r>
        <w:rPr>
          <w:rFonts w:ascii="Open Sans" w:eastAsia="Open Sans" w:hAnsi="Open Sans" w:cs="Open Sans"/>
          <w:color w:val="030303"/>
        </w:rPr>
        <w:br/>
      </w:r>
      <w:r>
        <w:rPr>
          <w:rFonts w:ascii="Open Sans" w:eastAsia="Open Sans" w:hAnsi="Open Sans" w:cs="Open Sans"/>
          <w:color w:val="030303"/>
        </w:rPr>
        <w:t xml:space="preserve">Mit freundlichen Grüßen</w:t>
      </w:r>
      <w:r>
        <w:rPr>
          <w:rFonts w:ascii="Open Sans" w:eastAsia="Open Sans" w:hAnsi="Open Sans" w:cs="Open Sans"/>
          <w:color w:val="030303"/>
        </w:rPr>
        <w:br/>
      </w:r>
      <w:r>
        <w:rPr>
          <w:rFonts w:ascii="Open Sans" w:eastAsia="Open Sans" w:hAnsi="Open Sans" w:cs="Open Sans"/>
          <w:color w:val="030303"/>
        </w:rPr>
        <w:br/>
      </w:r>
    </w:p>
    <w:p>
      <w:pPr>
        <w:pBdr/>
        <w:pStyle w:val="normal1"/>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TableNormal">
    <w:name w:val="TableNormal"/>
    <w:next w:val="TableNormal"/>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