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1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Lilah Perkins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Illum quam quam non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ANG2025-1126-153208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05.11.2021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Isabelle Bird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 xml:space="preserve">Referenz</w:t>
            </w: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868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 w:before="156" w:after="0"/>
        <w:ind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Ihr Angebot ANG2025-1126-153208</w:t>
      </w:r>
    </w:p>
    <w:p>
      <w:pPr>
        <w:pBdr/>
        <w:pStyle w:val="normal1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Perkins,</w:t>
      </w:r>
      <w:r>
        <w:rPr>
          <w:rFonts w:ascii="Open Sans" w:eastAsia="Open Sans" w:hAnsi="Open Sans" w:cs="Open Sans"/>
          <w:color w:val="000000"/>
        </w:rPr>
        <w:br/>
      </w:r>
    </w:p>
    <w:p>
      <w:pPr>
        <w:pBdr/>
        <w:pStyle w:val="normal1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>
          <w:rFonts w:ascii="Open Sans" w:eastAsia="Open Sans" w:hAnsi="Open Sans" w:cs="Open Sans"/>
          <w:color w:val="070707"/>
        </w:rPr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4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2"/>
              </w:rPr>
              <w:t xml:space="preserve">001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Liefern und Montieren einer Badewannentür (Universal/Standard) Höhe 40 cm, Breite 40,5 cm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dazugehörige Materialien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- 202,00 km Kilometerpauschale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Lieferkosten Badewannentür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Universal / Standard 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3.470,37 €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3.470,37 €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 xml:space="preserve">Haltegriff clivia plus 32/400mm m. Ros. Edelstahl glatt poliert,VIGOUR</w:t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64,77 €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64,77 €</w:t>
            </w:r>
            <w:r>
              <w:rPr>
                <w:rFonts w:ascii="Calibri" w:eastAsia="Calibri" w:hAnsi="Calibri" w:cs="Calibri"/>
                <w:color w:val="000000"/>
                <w:sz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/>
        <w:shd w:fill="auto" w:color="auto"/>
        <w:tblLayout w:type="fixed"/>
      </w:tblPr>
      <w:tblGrid>
        <w:gridCol w:w="2415"/>
        <w:gridCol w:w="2415"/>
        <w:gridCol w:w="2415"/>
        <w:gridCol w:w="2415"/>
      </w:tblGrid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3.535,14 €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57" w:after="0"/>
              <w:ind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671,68 €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4.206,82 €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1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</w:p>
    <w:p>
      <w:pPr>
        <w:pBdr/>
        <w:pStyle w:val="normal1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1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1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TableNormal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