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Galena Kane</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Minus quos ratione v</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At quam sunt molesti Doloremque ut odio m</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ANG2026-0121-134850</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23.09.2024</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Tiger Gibson</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Est autem voluptas a</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ANG2026-0121-134850</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Kane,</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2.127,76 €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2.127,76 €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- 2,00 Stk Beräumung der Baustelle</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- 376 km Kilometerpauschale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533,12 €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533,12 €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2843"/>
        <w:gridCol w:w="3249"/>
        <w:gridCol w:w="3853"/>
      </w:tblGrid>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2.660,88 €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0" w:right="0" w:firstLine="0"/>
              <w:jc w:val="both"/>
              <w:rPr>
                <w:rFonts w:ascii="Open Sans Semibold" w:eastAsia="Open Sans Semibold" w:hAnsi="Open Sans Semibold" w:cs="Open Sans Semibold"/>
                <w:b/>
                <w:bCs/>
                <w:color w:val="030303"/>
                <w:sz w:val="22"/>
                <w:szCs w:val="20"/>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1593" w:type="dxa"/>
            <w:tcMar>
              <w:top w:w="0" w:type="dxa"/>
              <w:left w:w="0" w:type="dxa"/>
              <w:bottom w:w="0" w:type="dxa"/>
              <w:right w:w="0" w:type="dxa"/>
            </w:tcMar>
            <w:tcBorders/>
            <w:shd w:fill="FFFFFF" w:color="auto" w:val="clear"/>
            <w:vAlign w:val="top"/>
          </w:tcPr>
          <w:p>
            <w:pPr>
              <w:pBdr/>
              <w:pStyle w:val="Normal"/>
              <w:spacing w:before="24" w:beforeAutospacing="false" w:after="24" w:afterAutospacing="false" w:line="240" w:lineRule="auto"/>
              <w:ind w:left="0" w:right="0" w:firstLine="0"/>
              <w:jc w:val="center"/>
              <w:rPr>
                <w:rFonts w:ascii="Open Sans" w:eastAsia="Open Sans" w:hAnsi="Open Sans" w:cs="Open Sans"/>
                <w:color w:val="000000"/>
                <w:sz w:val="22"/>
                <w:szCs w:val="22"/>
              </w:rPr>
            </w:pPr>
          </w:p>
        </w:tc>
        <w:tc>
          <w:tcPr>
            <w:tcW w:w="1889" w:type="dxa"/>
            <w:tcMar>
              <w:top w:w="0" w:type="dxa"/>
              <w:left w:w="0" w:type="dxa"/>
              <w:bottom w:w="0" w:type="dxa"/>
              <w:right w:w="0" w:type="dxa"/>
            </w:tcMar>
            <w:tcBorders/>
            <w:shd w:fill="FFFFFF" w:color="auto" w:val="clear"/>
            <w:vAlign w:val="top"/>
          </w:tcPr>
          <w:p>
            <w:pPr>
              <w:pBdr/>
              <w:pStyle w:val="Normal"/>
              <w:keepNext/>
              <w:keepLines/>
              <w:spacing w:before="0" w:beforeAutospacing="false" w:after="0" w:afterAutospacing="false" w:line="240" w:lineRule="auto"/>
              <w:ind w:left="1440" w:right="0"/>
              <w:jc w:val="right"/>
              <w:rPr>
                <w:rFonts w:ascii="Open Sans Semibold" w:eastAsia="Open Sans Semibold" w:hAnsi="Open Sans Semibold" w:cs="Open Sans Semibold"/>
                <w:color w:val="000000"/>
                <w:sz w:val="22"/>
                <w:szCs w:val="22"/>
              </w:rPr>
            </w:pPr>
            <w:r>
              <w:rPr>
                <w:rFonts w:ascii="Open Sans" w:eastAsia="Open Sans" w:hAnsi="Open Sans" w:cs="Open Sans"/>
                <w:color w:val="000000"/>
                <w:sz w:val="22"/>
                <w:szCs w:val="22"/>
              </w:rPr>
              <w:t xml:space="preserve">505,57 €</w:t>
            </w:r>
            <w:r>
              <w:rPr>
                <w:rFonts w:ascii="Open Sans" w:eastAsia="Open Sans" w:hAnsi="Open Sans" w:cs="Open Sans"/>
                <w:b/>
                <w:color w:val="000000"/>
                <w:sz w:val="22"/>
                <w:szCs w:val="22"/>
              </w:rPr>
              <w:t/>
            </w:r>
            <w:r>
              <w:rPr>
                <w:rFonts w:ascii="Open Sans" w:eastAsia="Open Sans" w:hAnsi="Open Sans" w:cs="Open Sans"/>
                <w:color w:val="000000"/>
                <w:sz w:val="22"/>
                <w:szCs w:val="22"/>
              </w:rPr>
              <w:t/>
            </w:r>
            <w:r>
              <w:rPr>
                <w:rFonts w:ascii="Open Sans Semibold" w:eastAsia="Open Sans Semibold" w:hAnsi="Open Sans Semibold" w:cs="Open Sans Semibold"/>
                <w:b/>
                <w:bCs/>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ffffff"/>
                <w:sz w:val="22"/>
                <w:szCs w:val="22"/>
              </w:rPr>
              <w:t xml:space="preserve">*</w:t>
            </w:r>
            <w:r>
              <w:rPr>
                <w:rFonts w:ascii="Open Sans Semibold" w:eastAsia="Open Sans Semibold" w:hAnsi="Open Sans Semibold" w:cs="Open Sans Semibold"/>
                <w:color w:val="000000"/>
                <w:sz w:val="22"/>
                <w:szCs w:val="22"/>
              </w:rPr>
              <w:t/>
            </w:r>
          </w:p>
        </w:tc>
      </w:tr>
      <w:tr>
        <w:tblPrEx>
          <w:tblBorders/>
          <w:tblCellMar>
            <w:top w:w="0" w:type="dxa"/>
            <w:left w:w="0" w:type="dxa"/>
            <w:bottom w:w="0" w:type="dxa"/>
            <w:right w:w="0" w:type="dxa"/>
          </w:tblCellMar>
        </w:tblPrEx>
        <w:trPr>
          <w:trHeight w:hRule="atLeast" w:val="1"/>
        </w:trPr>
        <w:tc>
          <w:tcPr>
            <w:tcW w:w="1394"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1593"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p>
        </w:tc>
        <w:tc>
          <w:tcPr>
            <w:tcW w:w="1889" w:type="dxa"/>
            <w:tcMar>
              <w:top w:w="0" w:type="dxa"/>
              <w:left w:w="0" w:type="dxa"/>
              <w:bottom w:w="0" w:type="dxa"/>
              <w:right w:w="0" w:type="dxa"/>
            </w:tcMar>
            <w:tcBorders/>
            <w:shd w:fill="CCCCCC" w:color="auto" w:val="clear"/>
            <w:vAlign w:val="top"/>
          </w:tcPr>
          <w:p>
            <w:pPr>
              <w:pBdr/>
              <w:pStyle w:val="Normal"/>
              <w:keepNext/>
              <w:keepLines/>
              <w:spacing w:before="0" w:beforeAutospacing="false" w:after="0" w:afterAutospacing="false" w:line="240" w:lineRule="auto"/>
              <w:ind w:left="1440" w:right="0"/>
              <w:jc w:val="right"/>
              <w:rPr>
                <w:color w:val="000000"/>
                <w:sz w:val="22"/>
              </w:rPr>
            </w:pPr>
            <w:r>
              <w:rPr>
                <w:rFonts w:ascii="Open Sans Semibold" w:eastAsia="Open Sans Semibold" w:hAnsi="Open Sans Semibold" w:cs="Open Sans Semibold"/>
                <w:b/>
                <w:bCs/>
                <w:color w:val="000000"/>
                <w:sz w:val="22"/>
                <w:szCs w:val="22"/>
              </w:rPr>
              <w:t xml:space="preserve">3.166,45 €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xml:space="preserve">‎</w:t>
            </w:r>
            <w:r>
              <w:rPr>
                <w:rFonts w:ascii="Open Sans Semibold" w:eastAsia="Open Sans Semibold" w:hAnsi="Open Sans Semibold" w:cs="Open Sans Semibold"/>
                <w:color w:val="cccccc"/>
                <w:sz w:val="22"/>
                <w:szCs w:val="22"/>
              </w:rPr>
              <w:t xml:space="preserve">*</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1</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