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Driscoll Doyle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Quis quaerat ut et v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Rerum sunt enim temp Esse voluptatibus si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ANG2026-0109-152002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05.02.2005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Yetta Buckner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604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ANG2026-0109-152002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Doyle,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20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18"/>
              </w:rPr>
              <w:t xml:space="preserve">001</w:t>
            </w:r>
          </w:p>
        </w:tc>
        <w:tc>
          <w:tcPr>
            <w:tcW w:w="74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20"/>
              </w:rPr>
              <w:t xml:space="preserve">1 Stk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Liefern und Montieren einer Badewannentür (Universal / Standard Tür) — Farbe: weiß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Höhen 35 cm abschneidbar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Fix Bereite 40,5 cm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Tiefe O 25cm U 25cm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dazugehörige Materialien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20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- 1,00 Stk Universal / Standard 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- 1,00 Stk Kleinmaterial</w:t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3.189,67 €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606,04 €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3.795,71 €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auto"/>
          <w:sz w:val="22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  <w:r>
        <w:rPr>
          <w:rFonts w:ascii="Open Sans" w:eastAsia="Open Sans" w:hAnsi="Open Sans" w:cs="Open Sans"/>
          <w:color w:val="030303"/>
        </w:rPr>
        <w:br/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Zahlungsbedingungen für den Selbstkostenanteil: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- 100 % sofort abzüglich 2 % Skonto oder</w:t>
      </w:r>
      <w:r>
        <w:rPr>
          <w:sz w:val="22"/>
        </w:rPr>
        <w:br/>
      </w:r>
      <w:r>
        <w:rPr>
          <w:sz w:val="22"/>
        </w:rPr>
        <w:t xml:space="preserve">- 50 % sofort und 50 % nach Fertigstellung, ohne Abzug</w:t>
      </w:r>
      <w:r>
        <w:rPr>
          <w:sz w:val="22"/>
        </w:rPr>
        <w:br/>
      </w:r>
      <w:r>
        <w:rPr>
          <w:sz w:val="22"/>
        </w:rPr>
        <w:t xml:space="preserve">Für die Anzahlung wird eine Anzahlungsrechnung erstellt. Die Überweisung darf erst nach Erhalt dieser Rechnung erfolgen.</w:t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