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805"/>
        <w:gridCol w:w="2268"/>
        <w:gridCol w:w="2962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805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Bo Torres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Et laborum Qui aute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Quis in excepturi es Rerum sint consequat</w:t>
            </w:r>
          </w:p>
        </w:tc>
        <w:tc>
          <w:tcPr>
            <w:tcW w:w="2268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ANG2025-1202-132922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spacing w:before="0" w:after="0"/>
              <w:ind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20.04.2006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Omar Solomon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805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112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ANG2025-1202-132922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Torres,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67"/>
        <w:gridCol w:w="741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left="-141" w:right="34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34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18"/>
              </w:rPr>
              <w:t xml:space="preserve">001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Liefern und Montieren einer Badewannentür (Universal/Standard) Höhe 40 cm, Breite 40,5 cm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dazugehörige Materialien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An- &amp; Abfahrten / Dieselzuschlag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Bereitstellung Maschinen / Werkzeug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Vorhaltung und Beräumung der Baustelle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- 202,00 km Kilometerpauschale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Universal / Standard Tür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Kleinmaterial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34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3.190,37 €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left="-141" w:right="34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3.190,37 €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/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Calibri" w:eastAsia="Calibri" w:hAnsi="Calibri" w:cs="Calibri"/>
                <w:color w:val="070707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18"/>
              </w:rPr>
              <w:t xml:space="preserve">002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>
                <w:rFonts w:ascii="Calibri" w:eastAsia="Calibri" w:hAnsi="Calibri" w:cs="Calibri"/>
                <w:sz w:val="18"/>
              </w:rPr>
            </w:pPr>
            <w:r>
              <w:rPr>
                <w:rFonts w:ascii="Calibri" w:eastAsia="Calibri" w:hAnsi="Calibri" w:cs="Calibri"/>
                <w:sz w:val="18"/>
              </w:rPr>
              <w:t xml:space="preserve">1 Stk 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100" w:beforeAutospacing="true" w:after="0" w:afterAutospacing="false" w:line="276" w:lineRule="auto"/>
              <w:widowControl w:val="0"/>
              <w:ind w:left="0" w:right="0"/>
              <w:jc w:val="left"/>
              <w:rPr>
                <w:rFonts w:ascii="Open Sans" w:hAnsi="Open Sans"/>
                <w:b/>
                <w:color w:val="auto"/>
                <w:sz w:val="20"/>
                <w:szCs w:val="22"/>
              </w:rPr>
            </w:pPr>
            <w:r>
              <w:rPr>
                <w:rFonts w:ascii="Arial" w:eastAsia="Arial" w:hAnsi="Arial" w:cs="Arial"/>
                <w:b/>
                <w:sz w:val="20"/>
              </w:rPr>
              <w:t xml:space="preserve">Zusatliche Artikel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bCs/>
                <w:color w:val="000000"/>
                <w:sz w:val="18"/>
                <w:szCs w:val="18"/>
              </w:rPr>
              <w:t xml:space="preserve">1 Stk gdrgdf</w:t>
            </w: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10,00 € 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10,00 €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/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right"/>
        <w:tblInd w:w="0" w:type="dxa"/>
        <w:tblCellMar>
          <w:top w:w="0" w:type="dxa"/>
          <w:left w:w="0" w:type="dxa"/>
          <w:bottom w:w="0" w:type="dxa"/>
          <w:right w:w="108" w:type="dxa"/>
        </w:tblCellMar>
        <w:tblBorders>
          <w:top w:val="single" w:color="E57373" w:sz="8" w:space="0"/>
          <w:left w:val="single" w:color="000000" w:sz="8" w:space="0"/>
          <w:bottom w:val="single" w:color="E57373" w:sz="8" w:space="0"/>
          <w:right w:val="single" w:color="E57373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2572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3516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1314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3.200,37 €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2572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3516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1314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608,07 €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2572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3516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1314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3.808,44 €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>
          <w:rFonts w:ascii="Open Sans" w:eastAsia="Open Sans" w:hAnsi="Open Sans" w:cs="Open Sans"/>
          <w:color w:val="030303"/>
        </w:rPr>
        <w:t/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</w:t>
      </w:r>
      <w:r>
        <w:rPr>
          <w:rFonts w:ascii="Open Sans" w:eastAsia="Open Sans" w:hAnsi="Open Sans" w:cs="Open Sans"/>
          <w:color w:val="030303"/>
        </w:rPr>
        <w:t xml:space="preserve">Facharbeiter: 69,50€ netto)</w:t>
      </w: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 w:before="224" w:after="0" w:line="288" w:lineRule="auto"/>
        <w:ind w:left="125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"/>
        <w:spacing w:before="215" w:after="0" w:line="286" w:lineRule="auto"/>
        <w:ind w:left="123" w:right="222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