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left="0" w:firstLine="0"/>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 w:type="dxa"/>
          <w:bottom w:w="0" w:type="dxa"/>
          <w:right w:w="10" w:type="dxa"/>
        </w:tblCellMar>
        <w:tblBorders/>
        <w:shd w:fill="auto" w:color="auto"/>
        <w:tblLayout w:type="fixed"/>
      </w:tblPr>
      <w:tblGrid>
        <w:gridCol w:w="467"/>
        <w:gridCol w:w="741"/>
        <w:gridCol w:w="6110"/>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41"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110"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left="-141" w:right="34"/>
              <w:jc w:val="center"/>
              <w:rPr>
                <w:b/>
                <w:bCs/>
                <w:color w:val="000000"/>
                <w:sz w:val="20"/>
                <w:szCs w:val="20"/>
              </w:rPr>
            </w:pPr>
            <w:r>
              <w:rPr>
                <w:rFonts w:ascii="Open Sans" w:eastAsia="Open Sans" w:hAnsi="Open Sans" w:cs="Open Sans"/>
                <w:b/>
                <w:bCs/>
                <w:color w:val="000000"/>
                <w:sz w:val="20"/>
                <w:szCs w:val="20"/>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right="34"/>
              <w:jc w:val="left"/>
              <w:rPr>
                <w:b/>
                <w:bCs/>
                <w:color w:val="000000"/>
                <w:sz w:val="20"/>
                <w:szCs w:val="20"/>
              </w:rPr>
            </w:pPr>
            <w:r>
              <w:rPr>
                <w:rFonts w:ascii="Open Sans" w:eastAsia="Open Sans" w:hAnsi="Open Sans" w:cs="Open Sans"/>
                <w:b/>
                <w:bCs/>
                <w:color w:val="000000"/>
                <w:sz w:val="20"/>
                <w:szCs w:val="20"/>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ind/>
              <w:jc w:val="left"/>
              <w:rPr>
                <w:rFonts w:ascii="Calibri" w:eastAsia="Calibri" w:hAnsi="Calibri" w:cs="Calibri"/>
                <w:sz w:val="18"/>
                <w:szCs w:val="18"/>
              </w:rPr>
            </w:pPr>
            <w:r>
              <w:rPr>
                <w:rFonts w:ascii="Calibri" w:eastAsia="Calibri" w:hAnsi="Calibri" w:cs="Calibri"/>
                <w:color w:val="070707"/>
                <w:sz w:val="18"/>
                <w:szCs w:val="18"/>
              </w:rPr>
              <w:t xml:space="preserve">{#BwtRows}{Pos}</w:t>
            </w:r>
          </w:p>
        </w:tc>
        <w:tc>
          <w:tcPr>
            <w:tcW w:w="741"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6110"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line="278" w:lineRule="auto"/>
              <w:ind w:right="314"/>
              <w:jc w:val="left"/>
              <w:rPr>
                <w:color w:val="000000"/>
                <w:sz w:val="18"/>
                <w:szCs w:val="18"/>
              </w:rPr>
            </w:pPr>
            <w:r>
              <w:rPr>
                <w:rFonts w:ascii="arial" w:eastAsia="arial" w:hAnsi="arial" w:cs="arial"/>
                <w:b/>
                <w:bCs/>
                <w:color w:val="000000"/>
                <w:sz w:val="20"/>
                <w:szCs w:val="20"/>
              </w:rPr>
              <w:t xml:space="preserve">{Title}</w:t>
            </w:r>
            <w:r>
              <w:rPr/>
              <w:br/>
            </w:r>
            <w:r>
              <w:rPr>
                <w:rFonts w:ascii="arial" w:eastAsia="arial" w:hAnsi="arial" w:cs="arial"/>
                <w:b w:val="0"/>
                <w:color w:val="000000"/>
                <w:sz w:val="18"/>
                <w:szCs w:val="18"/>
              </w:rPr>
              <w:t xml:space="preserve">• {Bullet1}</w:t>
            </w:r>
            <w:r>
              <w:rPr/>
              <w:br/>
            </w:r>
            <w:r>
              <w:rPr>
                <w:rFonts w:ascii="arial" w:eastAsia="arial" w:hAnsi="arial" w:cs="arial"/>
                <w:b w:val="0"/>
                <w:color w:val="000000"/>
                <w:sz w:val="18"/>
                <w:szCs w:val="18"/>
              </w:rPr>
              <w:t xml:space="preserve">• {Bullet2}</w:t>
            </w:r>
            <w:r>
              <w:rPr/>
              <w:br/>
            </w:r>
            <w:r>
              <w:rPr>
                <w:rFonts w:ascii="arial" w:eastAsia="arial" w:hAnsi="arial" w:cs="arial"/>
                <w:b w:val="0"/>
                <w:color w:val="000000"/>
                <w:sz w:val="18"/>
                <w:szCs w:val="18"/>
              </w:rPr>
              <w:t xml:space="preserve">• {Bullet3}</w:t>
            </w:r>
            <w:r>
              <w:rPr/>
              <w:br/>
            </w:r>
            <w:r>
              <w:rPr>
                <w:rFonts w:ascii="arial" w:eastAsia="arial" w:hAnsi="arial" w:cs="arial"/>
                <w:b w:val="0"/>
                <w:color w:val="000000"/>
                <w:sz w:val="18"/>
                <w:szCs w:val="18"/>
              </w:rPr>
              <w:t xml:space="preserve">• {Bullet4}</w:t>
            </w:r>
            <w:r>
              <w:rPr/>
              <w:br/>
            </w:r>
            <w:r>
              <w:rPr>
                <w:rFonts w:ascii="arial" w:eastAsia="arial" w:hAnsi="arial" w:cs="arial"/>
                <w:b w:val="0"/>
                <w:color w:val="000000"/>
                <w:sz w:val="18"/>
                <w:szCs w:val="18"/>
              </w:rPr>
              <w:t xml:space="preserve">• {Bullet5}</w:t>
            </w:r>
            <w:r>
              <w:rPr/>
              <w:br/>
            </w:r>
            <w:r>
              <w:rPr>
                <w:rFonts w:ascii="arial" w:eastAsia="arial" w:hAnsi="arial" w:cs="arial"/>
                <w:b w:val="0"/>
                <w:color w:val="000000"/>
                <w:sz w:val="18"/>
                <w:szCs w:val="18"/>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Normal"/>
              <w:spacing w:before="0" w:after="0" w:line="278" w:lineRule="auto"/>
              <w:ind w:right="314"/>
              <w:jc w:val="left"/>
              <w:rPr>
                <w:color w:val="000000"/>
                <w:sz w:val="18"/>
              </w:rPr>
            </w:pPr>
            <w:r>
              <w:rPr>
                <w:rFonts w:ascii="arial" w:eastAsia="arial" w:hAnsi="arial" w:cs="arial"/>
                <w:b/>
                <w:bCs/>
                <w:color w:val="000000"/>
                <w:sz w:val="18"/>
                <w:szCs w:val="20"/>
              </w:rPr>
              <w:t xml:space="preserve">Enthält je Einheit</w:t>
            </w:r>
          </w:p>
          <w:p>
            <w:pPr>
              <w:pBdr/>
              <w:pStyle w:val="Normal"/>
              <w:spacing w:before="0" w:after="0" w:line="278" w:lineRule="auto"/>
              <w:ind w:right="314"/>
              <w:jc w:val="left"/>
              <w:rPr>
                <w:rFonts w:ascii="Arial" w:eastAsia="Arial" w:hAnsi="Arial" w:cs="Arial"/>
                <w:b w:val="0"/>
                <w:color w:val="000000"/>
                <w:sz w:val="18"/>
                <w:szCs w:val="18"/>
              </w:rPr>
            </w:pPr>
            <w:r>
              <w:rPr>
                <w:rFonts w:ascii="Arial" w:eastAsia="Arial" w:hAnsi="Arial" w:cs="Arial"/>
                <w:b w:val="0"/>
                <w:color w:val="000000"/>
                <w:sz w:val="18"/>
                <w:szCs w:val="18"/>
              </w:rPr>
              <w:t xml:space="preserve">- {EnthKmQty} km Kilometerpauschale</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{EnthDeliverQty}</w:t>
            </w:r>
            <w:r>
              <w:rPr>
                <w:rFonts w:ascii="Arial" w:eastAsia="Arial" w:hAnsi="Arial" w:cs="Arial"/>
                <w:b w:val="0"/>
                <w:color w:val="000000"/>
                <w:sz w:val="18"/>
                <w:szCs w:val="18"/>
              </w:rPr>
              <w:t xml:space="preserve"> Stk Lieferkosten Badewannentür</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{EnthDoorQty}</w:t>
            </w:r>
            <w:r>
              <w:rPr>
                <w:rFonts w:ascii="Arial" w:eastAsia="Arial" w:hAnsi="Arial" w:cs="Arial"/>
                <w:b w:val="0"/>
                <w:color w:val="000000"/>
                <w:sz w:val="18"/>
                <w:szCs w:val="18"/>
              </w:rPr>
              <w:t xml:space="preserve"> Stk Universal / Standard Tür</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{EnthKleinQty}</w:t>
            </w:r>
            <w:r>
              <w:rPr>
                <w:rFonts w:ascii="Arial" w:eastAsia="Arial" w:hAnsi="Arial" w:cs="Arial"/>
                <w:b w:val="0"/>
                <w:color w:val="000000"/>
                <w:sz w:val="18"/>
                <w:szCs w:val="18"/>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1399"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w:t>
            </w:r>
          </w:p>
        </w:tc>
        <w:tc>
          <w:tcPr>
            <w:tcW w:w="943"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left="-141"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18"/>
              </w:rPr>
            </w:pPr>
            <w:r>
              <w:rPr>
                <w:rFonts w:ascii="Calibri" w:eastAsia="Calibri" w:hAnsi="Calibri" w:cs="Calibri"/>
                <w:color w:val="070707"/>
                <w:sz w:val="18"/>
                <w:szCs w:val="18"/>
              </w:rPr>
              <w:t xml:space="preserve">{#BwtGrabRows}{Pos}</w:t>
            </w:r>
          </w:p>
        </w:tc>
        <w:tc>
          <w:tcPr>
            <w:tcW w:w="741"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6110"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76" w:lineRule="auto"/>
              <w:widowControl w:val="0"/>
              <w:ind w:left="0" w:right="0"/>
              <w:jc w:val="left"/>
              <w:rPr>
                <w:rFonts w:ascii="Open Sans" w:hAnsi="Open Sans"/>
                <w:b/>
                <w:color w:val="auto"/>
                <w:sz w:val="20"/>
                <w:szCs w:val="22"/>
              </w:rPr>
            </w:pPr>
            <w:r>
              <w:rPr>
                <w:rFonts w:ascii="Arial" w:eastAsia="Arial" w:hAnsi="Arial" w:cs="Arial"/>
                <w:b/>
                <w:sz w:val="20"/>
              </w:rPr>
              <w:t xml:space="preserve">Zusatliche Artikel</w:t>
            </w:r>
            <w:r>
              <w:rPr/>
              <w:br/>
            </w:r>
            <w:r>
              <w:rPr>
                <w:rFonts w:ascii="Arial" w:eastAsia="Arial" w:hAnsi="Arial" w:cs="Arial"/>
                <w:b w:val="0"/>
                <w:bCs/>
                <w:color w:val="000000"/>
                <w:sz w:val="18"/>
                <w:szCs w:val="18"/>
              </w:rPr>
              <w:t xml:space="preserve">{Text}</w:t>
            </w:r>
            <w:r>
              <w:rPr>
                <w:rFonts w:ascii="Open Sans" w:eastAsia="Open Sans" w:hAnsi="Open Sans" w:cs="Open Sans"/>
                <w:color w:val="000000"/>
                <w:sz w:val="18"/>
                <w:szCs w:val="18"/>
              </w:rPr>
              <w:t xml:space="preserve"> </w:t>
            </w:r>
          </w:p>
        </w:tc>
        <w:tc>
          <w:tcPr>
            <w:tcW w:w="1399"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 </w:t>
            </w:r>
          </w:p>
        </w:tc>
        <w:tc>
          <w:tcPr>
            <w:tcW w:w="943"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817" w:type="dxa"/>
        <w:jc w:val="right"/>
        <w:tblInd w:w="0" w:type="dxa"/>
        <w:tblCellMar>
          <w:top w:w="0" w:type="dxa"/>
          <w:left w:w="0" w:type="dxa"/>
          <w:bottom w:w="0" w:type="dxa"/>
          <w:right w:w="108" w:type="dxa"/>
        </w:tblCellMar>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shd w:fill="auto" w:color="auto"/>
        <w:tblLayout w:type="fixed"/>
      </w:tblPr>
      <w:tblGrid>
        <w:gridCol w:w="2572"/>
        <w:gridCol w:w="2415"/>
        <w:gridCol w:w="3516"/>
        <w:gridCol w:w="1314"/>
      </w:tblGrid>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20"/>
        </w:trPr>
        <w:tc>
          <w:tcPr>
            <w:tcW w:w="2572"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
              <w:keepNext/>
              <w:keepLines/>
              <w:spacing w:before="0" w:beforeAutospacing="false" w:after="0" w:afterAutospacing="false" w:line="240" w:lineRule="auto"/>
              <w:ind w:left="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24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3516"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1314"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
              <w:keepNext/>
              <w:keepLines/>
              <w:spacing w:before="0" w:beforeAutospacing="false" w:after="0" w:afterAutospacing="false" w:line="240" w:lineRule="auto"/>
              <w:contextualSpacing/>
              <w:ind w:left="0" w:right="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20"/>
        </w:trPr>
        <w:tc>
          <w:tcPr>
            <w:tcW w:w="2572"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24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3516"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1314"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
              <w:keepNext/>
              <w:keepLines/>
              <w:spacing w:before="0" w:beforeAutospacing="false" w:after="0" w:afterAutospacing="false" w:line="240" w:lineRule="auto"/>
              <w:contextualSpacing/>
              <w:ind w:left="0" w:right="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r>
              <w:rPr>
                <w:rFonts w:ascii="Open Sans Semibold" w:eastAsia="Open Sans Semibold" w:hAnsi="Open Sans Semibold" w:cs="Open Sans Semibold"/>
                <w:color w:val="000000"/>
                <w:sz w:val="22"/>
                <w:szCs w:val="22"/>
              </w:rPr>
              <w:t xml:space="preserve">Totals}</w:t>
            </w:r>
          </w:p>
        </w:tc>
      </w:tr>
    </w:tbl>
    <w:p>
      <w:pPr>
        <w:pBdr/>
        <w:pStyle w:val="Normal"/>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xml:space="preserve">EbenerdigHinweis}</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w:t>
      </w:r>
      <w:r>
        <w:rPr>
          <w:rFonts w:ascii="Open Sans" w:eastAsia="Open Sans" w:hAnsi="Open Sans" w:cs="Open Sans"/>
          <w:color w:val="030303"/>
        </w:rPr>
        <w:t xml:space="preserve">hasSubsidyLine}</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p>
    <w:p>
      <w:pPr>
        <w:pBdr/>
        <w:pStyle w:val="Normal"/>
        <w:spacing/>
        <w:ind/>
        <w:rPr>
          <w:rFonts w:ascii="Open Sans" w:eastAsia="Open Sans" w:hAnsi="Open Sans" w:cs="Open Sans"/>
          <w:color w:val="030303"/>
        </w:rPr>
      </w:pPr>
    </w:p>
    <w:p>
      <w:pPr>
        <w:pBdr/>
        <w:pStyle w:val="Normal"/>
        <w:spacing/>
        <w:ind w:left="125"/>
        <w:rPr/>
      </w:pPr>
      <w:r>
        <w:rPr>
          <w:rFonts w:ascii="Open Sans" w:eastAsia="Open Sans" w:hAnsi="Open Sans" w:cs="Open Sans"/>
          <w:color w:val="030303"/>
        </w:rPr>
        <w:t xml:space="preserve">{BwtFreeText}</w:t>
      </w:r>
    </w:p>
    <w:p>
      <w:pPr>
        <w:pBdr/>
        <w:pStyle w:val="Normal"/>
        <w:spacing/>
        <w:ind/>
        <w:rPr/>
      </w:pPr>
    </w:p>
    <w:p>
      <w:pPr>
        <w:pBdr/>
        <w:pStyle w:val="Normal"/>
        <w:spacing/>
        <w:ind w:left="125"/>
        <w:rPr/>
      </w:pPr>
      <w:r>
        <w:rPr>
          <w:rFonts w:ascii="Open Sans" w:eastAsia="Open Sans" w:hAnsi="Open Sans" w:cs="Open Sans"/>
          <w:color w:val="030303"/>
        </w:rPr>
        <w:t xml:space="preserve">{BwtSteelNote}</w:t>
      </w:r>
    </w:p>
    <w:p>
      <w:pPr>
        <w:pBdr/>
        <w:pStyle w:val="Normal"/>
        <w:spacing/>
        <w:ind/>
        <w:rPr/>
      </w:pPr>
    </w:p>
    <w:p>
      <w:pPr>
        <w:pBdr/>
        <w:pStyle w:val="Normal"/>
        <w:spacing/>
        <w:ind w:left="125"/>
        <w:rPr/>
      </w:pPr>
      <w:r>
        <w:rPr>
          <w:rFonts w:ascii="Open Sans" w:eastAsia="Open Sans" w:hAnsi="Open Sans" w:cs="Open Sans"/>
          <w:color w:val="030303"/>
        </w:rPr>
        <w:t xml:space="preserve">{BwtProxyNote} Die Unterschrift gilt für uns als Auftragsbestätigung.</w:t>
      </w:r>
    </w:p>
    <w:p>
      <w:pPr>
        <w:pBdr/>
        <w:pStyle w:val="Normal"/>
        <w:spacing w:before="26" w:after="0"/>
        <w:ind/>
        <w:rPr>
          <w:rFonts w:ascii="Open Sans" w:eastAsia="Open Sans" w:hAnsi="Open Sans" w:cs="Open Sans"/>
          <w:color w:val="030303"/>
        </w:rPr>
      </w:pPr>
    </w:p>
    <w:p>
      <w:pPr>
        <w:pBdr/>
        <w:pStyle w:val="Normal"/>
        <w:spacing w:before="26" w:after="0"/>
        <w:ind/>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125" w:bottom="1440" w:left="126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