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Aquila Giles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Aperiam exercitation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Est aut autem praese Et quis ipsa dignis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ANG2026-0107-140442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09.07.2014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Yolanda Workman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499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ANG2026-0107-140442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Giles,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749" w:type="dxa"/>
            <w:tcBorders/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eastAsia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(Universal / Standard Tür)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   • Höhen 40 bis 33cm abschneidbar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   • Fix Bereite 40,5 cm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   • Tiefe O25cm U25cm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Montage Haltegriff 40 cm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- 1,00 Stk Universal / Standard 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- 1,00 Stk Kleinmaterial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</w:t>
            </w:r>
            <w:r>
              <w:rPr>
                <w:rFonts w:ascii="Arial" w:hAnsi="Arial"/>
                <w:sz w:val="18"/>
              </w:rPr>
              <w:t xml:space="preserve"> 1 Stk Haltegriff clivia plus 32/400mm m. Ros. Edelstahl glatt poliert,VIGOUR</w:t>
            </w:r>
          </w:p>
        </w:tc>
        <w:tc>
          <w:tcPr>
            <w:tcW w:w="139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3.254,44 €</w:t>
            </w:r>
          </w:p>
        </w:tc>
        <w:tc>
          <w:tcPr>
            <w:tcW w:w="943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3.254,44 €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3.254,44 €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618,34 €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3.872,78 €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 w:val="0"/>
          <w:i w:val="0"/>
          <w:iCs w:val="0"/>
          <w:color w:val="auto"/>
          <w:sz w:val="22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  <w:r>
        <w:rPr>
          <w:rFonts w:ascii="Open Sans" w:eastAsia="Open Sans" w:hAnsi="Open Sans" w:cs="Open Sans"/>
          <w:color w:val="030303"/>
        </w:rPr>
        <w:br/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/>
      </w:r>
      <w:r>
        <w:rPr>
          <w:b/>
          <w:sz w:val="22"/>
        </w:rPr>
        <w:t xml:space="preserve">Zahlungsbedingungen für den Selbstkostenanteil:</w:t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 xml:space="preserve">- 100 % sofort abzüglich 2 % Skonto oder</w:t>
      </w:r>
      <w:r>
        <w:rPr>
          <w:sz w:val="22"/>
        </w:rPr>
        <w:br/>
      </w:r>
      <w:r>
        <w:rPr>
          <w:sz w:val="22"/>
        </w:rPr>
        <w:t xml:space="preserve">- 50 % sofort und 50 % nach Fertigstellung, ohne Abzug</w:t>
      </w:r>
      <w:r>
        <w:rPr>
          <w:sz w:val="22"/>
        </w:rPr>
        <w:br/>
      </w:r>
      <w:r>
        <w:rPr>
          <w:sz w:val="22"/>
        </w:rPr>
        <w:t xml:space="preserve">Für die Anzahlung wird eine Anzahlungsrechnung erstellt. Die Überweisung darf erst nach Erhalt dieser Rechnung erfolgen.</w:t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sz w:val="22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