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5093"/>
        <w:gridCol w:w="1843"/>
        <w:gridCol w:w="3099"/>
      </w:tblGrid>
      <w:tr w:rsidR="00A5191B" w:rsidRPr="009326DA" w14:paraId="1559AE4E" w14:textId="77777777" w:rsidTr="00F93B4E">
        <w:trPr>
          <w:trHeight w:val="1380"/>
        </w:trPr>
        <w:tc>
          <w:tcPr>
            <w:tcW w:w="5093"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Bethany</w:t>
            </w:r>
            <w:proofErr w:type="spellStart"/>
            <w:r>
              <w:rPr>
                <w:rFonts w:ascii="Open Sans" w:eastAsia="Open Sans" w:hAnsi="Open Sans" w:cs="Open Sans"/>
              </w:rPr>
              <w:t/>
            </w:r>
            <w:proofErr w:type="spellEnd"/>
            <w:r>
              <w:rPr>
                <w:rFonts w:ascii="Open Sans" w:eastAsia="Open Sans" w:hAnsi="Open Sans" w:cs="Open Sans"/>
              </w:rPr>
              <w:t xml:space="preserve"> Calderon</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Dolorem corrupti ex</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Eu omnis sunt amet  Do quis consequatur</w:t>
            </w:r>
          </w:p>
        </w:tc>
        <w:tc>
          <w:tcPr>
            <w:tcW w:w="1843"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3099"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 xml:space="preserve">ANG2025-1113-164024</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07.05.2003</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Amanda Soto</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9326DA">
        <w:trPr>
          <w:trHeight w:val="370"/>
        </w:trPr>
        <w:tc>
          <w:tcPr>
            <w:tcW w:w="5093"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4942"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Blaze Bruce</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ANG2025-1113-164024</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Calderon</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95,50 €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 xml:space="preserve">95,50 €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Default="00A5191B">
            <w:pPr>
              <w:pStyle w:val="normal1"/>
              <w:spacing w:line="278" w:lineRule="auto"/>
              <w:ind w:right="314"/>
              <w:rPr>
                <w:color w:val="000000"/>
                <w:sz w:val="18"/>
                <w:szCs w:val="18"/>
              </w:rPr>
            </w:pP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 xml:space="preserve">Enthält</w:t>
            </w:r>
            <w:proofErr w:type="spellEnd"/>
            <w:r>
              <w:rPr>
                <w:rFonts w:ascii="Open Sans" w:eastAsia="Open Sans" w:hAnsi="Open Sans" w:cs="Open Sans"/>
                <w:color w:val="000000"/>
                <w:sz w:val="20"/>
                <w:szCs w:val="20"/>
              </w:rPr>
              <w:t xml:space="preserve"> je Einheit</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Fahrzeugbereitstellung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Bereitstellung und Vorhaltung von Maschinen &amp; Werkzeugen</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Beräumung der Baustelle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 km Kilometerpauschale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425,89 €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 xml:space="preserve">425,89 €</w:t>
            </w:r>
            <w:proofErr w:type="spellStart"/>
            <w:r>
              <w:t/>
            </w:r>
            <w:proofErr w:type="spellEnd"/>
            <w:r>
              <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Wannenabdichtband-Set 3,4 m Nass-/Trockenanbindung entspr. DIN 18534</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Ablaufgarnitur Rohbauset m.Sifon BH60mm f.flache Duschw.m.90mm Ablauf TRINNITY</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Kleinmaterial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Stelzlager höhenverstellar Set</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Wandabdichtung BASIS-Set 5 qm DW bis 100 x 100 / BW bis 180 x 80 cm</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Pkg Flächenkleber (Wandverkleidung)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Abschlussprofil 3.0 255 cm silber eloxiert VIGOUR</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CARE Sanitär Silikon Weiß 310ml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659,34 €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125,27 €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784,61 €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0161D" w14:textId="77777777" w:rsidR="000F5D39" w:rsidRDefault="000F5D39">
      <w:r>
        <w:separator/>
      </w:r>
    </w:p>
  </w:endnote>
  <w:endnote w:type="continuationSeparator" w:id="0">
    <w:p w14:paraId="1AC33081" w14:textId="77777777" w:rsidR="000F5D39" w:rsidRDefault="000F5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3E935" w14:textId="77777777" w:rsidR="000F5D39" w:rsidRDefault="000F5D39">
      <w:r>
        <w:separator/>
      </w:r>
    </w:p>
  </w:footnote>
  <w:footnote w:type="continuationSeparator" w:id="0">
    <w:p w14:paraId="32C76702" w14:textId="77777777" w:rsidR="000F5D39" w:rsidRDefault="000F5D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0F5D39"/>
    <w:rsid w:val="006E2205"/>
    <w:rsid w:val="009326DA"/>
    <w:rsid w:val="00A5191B"/>
    <w:rsid w:val="00A84675"/>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17</cp:revision>
  <dcterms:created xsi:type="dcterms:W3CDTF">2025-11-13T15:25:00Z</dcterms:created>
  <dcterms:modified xsi:type="dcterms:W3CDTF">2025-11-13T15:35:00Z</dcterms:modified>
  <dc:language>en-US</dc:language>
</cp:coreProperties>
</file>