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5486" w14:textId="77777777" w:rsidR="0002462E" w:rsidRPr="0002462E" w:rsidRDefault="0002462E" w:rsidP="0002462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Lexus RX 2025: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Trẻ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246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</w:p>
    <w:p w14:paraId="6C1C5CF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Lexus RX 2025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Nhật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17264F3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3BA87F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All New Lexus RX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Dài x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x Cao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4.890 x 1.920 x 1.695 (mm),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2.850mm. So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25mm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60mm,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15FDE58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485BD9CA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06BF017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2025.</w:t>
      </w:r>
    </w:p>
    <w:p w14:paraId="68A8C97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2E46994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6572FC9A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0751888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/cos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chia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5DF02C3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1DD0D2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784E5C7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13E567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SUV 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7F88CCA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E201B6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70C723B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>Lexus RX</w:t>
      </w:r>
    </w:p>
    <w:p w14:paraId="22B113C5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E5037B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lastRenderedPageBreak/>
        <w:t xml:space="preserve">So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C-D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661033A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1699911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21 inch.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Luxury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Premium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1C5EEA0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0044F8D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LED.</w:t>
      </w:r>
    </w:p>
    <w:p w14:paraId="710C2CD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B205BC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236D509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33B9510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76543EA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32EB5CD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0A54C4F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Nhật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“LEXUS”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71145DE4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562D5D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khoắn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2BB23CB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FCF5D3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dặn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0137FE0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5C19B79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2025: Theo xu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thiện</w:t>
      </w:r>
      <w:proofErr w:type="spellEnd"/>
    </w:p>
    <w:p w14:paraId="61A54CF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lastRenderedPageBreak/>
        <w:t>Vẫn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mỉ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Xe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crom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1D87542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0246E5E4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Khoang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</w:p>
    <w:p w14:paraId="74EE175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SUV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6D01872B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EAB806B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446A763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SUV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4345103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taplo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Nhật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4B8CD73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52937C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Khu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USB,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 Lexus</w:t>
      </w:r>
      <w:proofErr w:type="gramEnd"/>
      <w:r w:rsidRPr="0002462E">
        <w:rPr>
          <w:rFonts w:ascii="Times New Roman" w:hAnsi="Times New Roman" w:cs="Times New Roman"/>
          <w:sz w:val="26"/>
          <w:szCs w:val="26"/>
        </w:rPr>
        <w:t xml:space="preserve"> RX 2025.</w:t>
      </w:r>
    </w:p>
    <w:p w14:paraId="494D2B6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087CA8B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462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,  Lexus</w:t>
      </w:r>
      <w:proofErr w:type="gramEnd"/>
      <w:r w:rsidRPr="0002462E">
        <w:rPr>
          <w:rFonts w:ascii="Times New Roman" w:hAnsi="Times New Roman" w:cs="Times New Roman"/>
          <w:sz w:val="26"/>
          <w:szCs w:val="26"/>
        </w:rPr>
        <w:t xml:space="preserve">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6471F715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0320D08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1CEB793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109728F4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LCD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120AD29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443CA17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da Semi-aniline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Luxury, da Smooth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Premium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da Smooth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F Sport.</w:t>
      </w:r>
    </w:p>
    <w:p w14:paraId="650A890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037999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lastRenderedPageBreak/>
        <w:t xml:space="preserve">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8-10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500D5EE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2BFF6EB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</w:t>
      </w:r>
      <w:proofErr w:type="spellEnd"/>
    </w:p>
    <w:p w14:paraId="0147E47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3E14454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2462E">
        <w:rPr>
          <w:rFonts w:ascii="Times New Roman" w:hAnsi="Times New Roman" w:cs="Times New Roman"/>
          <w:sz w:val="26"/>
          <w:szCs w:val="26"/>
        </w:rPr>
        <w:t>14 inch</w:t>
      </w:r>
      <w:proofErr w:type="gram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qua Apple CarPlay/Android Auto.</w:t>
      </w:r>
    </w:p>
    <w:p w14:paraId="2AB1A5E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2462E">
        <w:rPr>
          <w:rFonts w:ascii="Times New Roman" w:hAnsi="Times New Roman" w:cs="Times New Roman"/>
          <w:sz w:val="26"/>
          <w:szCs w:val="26"/>
        </w:rPr>
        <w:t>14 inch</w:t>
      </w:r>
      <w:proofErr w:type="gram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qua Apple CarPlay/Android Auto.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:</w:t>
      </w:r>
    </w:p>
    <w:p w14:paraId="7C368BA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53992FE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Mark Levinson 21 loa</w:t>
      </w:r>
    </w:p>
    <w:p w14:paraId="36CEC83E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Nano-e</w:t>
      </w:r>
    </w:p>
    <w:p w14:paraId="35E4D5E1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HUD</w:t>
      </w:r>
    </w:p>
    <w:p w14:paraId="26EDED0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LCD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vô-lăng</w:t>
      </w:r>
      <w:proofErr w:type="spellEnd"/>
    </w:p>
    <w:p w14:paraId="10AB330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Phanh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2D0AB2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Rèm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A43697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dây</w:t>
      </w:r>
      <w:proofErr w:type="spellEnd"/>
    </w:p>
    <w:p w14:paraId="3732A43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Khoang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2CD2E0F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10mm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310C6D45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44C8C33D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64F6C67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10mm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6A288BC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30868B1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4929D44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lastRenderedPageBreak/>
        <w:t xml:space="preserve">Khoang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7A7FE1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512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40:20:40.</w:t>
      </w:r>
    </w:p>
    <w:p w14:paraId="02CC722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8443747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2462E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6C099B53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:</w:t>
      </w:r>
    </w:p>
    <w:p w14:paraId="4798ABB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4700B9B0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01E07AD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1BD56525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mù</w:t>
      </w:r>
      <w:proofErr w:type="spellEnd"/>
    </w:p>
    <w:p w14:paraId="64960A84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lốp</w:t>
      </w:r>
      <w:proofErr w:type="spellEnd"/>
    </w:p>
    <w:p w14:paraId="6B1E652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chạm</w:t>
      </w:r>
      <w:proofErr w:type="spellEnd"/>
    </w:p>
    <w:p w14:paraId="081ABAD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47FB7A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>Camera 360/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lùi</w:t>
      </w:r>
      <w:proofErr w:type="spellEnd"/>
    </w:p>
    <w:p w14:paraId="32B670AB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C0D1D8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2025: Hai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Hybrid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kiệm</w:t>
      </w:r>
      <w:proofErr w:type="spellEnd"/>
    </w:p>
    <w:p w14:paraId="3E32698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2024</w:t>
      </w:r>
    </w:p>
    <w:p w14:paraId="2F06732C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r w:rsidRPr="0002462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Việt Nam,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257D3BBF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Việt Nam, Lexus RX 2025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5069E34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09411348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 350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xy-lanh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2.4L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275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430 Nm. Xe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: Eco, Normal, Sport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Custom. </w:t>
      </w:r>
    </w:p>
    <w:p w14:paraId="208D67A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6BCD6759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Lexus RX500h F Sport Performance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Hybrid 1M-HEV.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2.4L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mô-tơ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mô-tơ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Direct4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eAxle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4202B5B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7D014AF2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lastRenderedPageBreak/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366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bánh Direct4,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Michelin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p w14:paraId="35A52B96" w14:textId="77777777" w:rsidR="0002462E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</w:p>
    <w:p w14:paraId="3D7DE00E" w14:textId="1C85F522" w:rsidR="00633A71" w:rsidRPr="0002462E" w:rsidRDefault="0002462E" w:rsidP="000246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AVS mang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6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62E">
        <w:rPr>
          <w:rFonts w:ascii="Times New Roman" w:hAnsi="Times New Roman" w:cs="Times New Roman"/>
          <w:sz w:val="26"/>
          <w:szCs w:val="26"/>
        </w:rPr>
        <w:t>.</w:t>
      </w:r>
    </w:p>
    <w:sectPr w:rsidR="00633A71" w:rsidRPr="0002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67260"/>
    <w:multiLevelType w:val="multilevel"/>
    <w:tmpl w:val="349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C51A5"/>
    <w:multiLevelType w:val="multilevel"/>
    <w:tmpl w:val="F12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35533">
    <w:abstractNumId w:val="1"/>
  </w:num>
  <w:num w:numId="2" w16cid:durableId="214434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E"/>
    <w:rsid w:val="0002462E"/>
    <w:rsid w:val="00493482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38B4"/>
  <w15:chartTrackingRefBased/>
  <w15:docId w15:val="{CB217F33-3E0F-4B0E-89D1-A21515B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888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8926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18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5332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841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892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0267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1438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86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8507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9006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29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7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2025-03-30T09:29:00Z</dcterms:created>
  <dcterms:modified xsi:type="dcterms:W3CDTF">2025-03-30T09:33:00Z</dcterms:modified>
</cp:coreProperties>
</file>