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4AB44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r w:rsidRPr="002E095B">
        <w:rPr>
          <w:rFonts w:ascii="Times New Roman" w:hAnsi="Times New Roman" w:cs="Times New Roman"/>
          <w:sz w:val="26"/>
          <w:szCs w:val="26"/>
        </w:rPr>
        <w:t xml:space="preserve">Porsche Cayenne 2025: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lăn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T3/2025,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thuật</w:t>
      </w:r>
      <w:proofErr w:type="spellEnd"/>
    </w:p>
    <w:p w14:paraId="14535C8E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chung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Porsche Cayenne 2024</w:t>
      </w:r>
    </w:p>
    <w:p w14:paraId="5D12815D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hyperlink r:id="rId5" w:tooltip="Porsche Cayenne" w:history="1">
        <w:r w:rsidRPr="002E095B">
          <w:rPr>
            <w:rStyle w:val="Hyperlink"/>
            <w:rFonts w:ascii="Times New Roman" w:hAnsi="Times New Roman" w:cs="Times New Roman"/>
            <w:sz w:val="26"/>
            <w:szCs w:val="26"/>
          </w:rPr>
          <w:t>Porsche Cayenne</w:t>
        </w:r>
      </w:hyperlink>
      <w:r w:rsidRPr="002E095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2002. 8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SUV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lãm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Geneva.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2018,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làng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>.</w:t>
      </w:r>
    </w:p>
    <w:p w14:paraId="29F9AC18" w14:textId="1F975E5A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hyperlink r:id="rId6" w:tooltip="Porsche" w:history="1">
        <w:r w:rsidRPr="002E095B">
          <w:rPr>
            <w:rStyle w:val="Hyperlink"/>
            <w:rFonts w:ascii="Times New Roman" w:hAnsi="Times New Roman" w:cs="Times New Roman"/>
            <w:sz w:val="26"/>
            <w:szCs w:val="26"/>
          </w:rPr>
          <w:t>Porsche</w:t>
        </w:r>
      </w:hyperlink>
      <w:r w:rsidRPr="002E095B">
        <w:rPr>
          <w:rFonts w:ascii="Times New Roman" w:hAnsi="Times New Roman" w:cs="Times New Roman"/>
          <w:sz w:val="26"/>
          <w:szCs w:val="26"/>
        </w:rPr>
        <w:t xml:space="preserve"> Cayenne 2024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lãm</w:t>
      </w:r>
      <w:proofErr w:type="spellEnd"/>
    </w:p>
    <w:p w14:paraId="6A4BF05B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r w:rsidRPr="002E095B">
        <w:rPr>
          <w:rFonts w:ascii="Times New Roman" w:hAnsi="Times New Roman" w:cs="Times New Roman"/>
          <w:sz w:val="26"/>
          <w:szCs w:val="26"/>
        </w:rPr>
        <w:t xml:space="preserve">Porsche Cayenne 2024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>.</w:t>
      </w:r>
    </w:p>
    <w:p w14:paraId="5F0D2155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 Porsche Cayenne 2024 &amp;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khuyến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mãi</w:t>
      </w:r>
      <w:proofErr w:type="spellEnd"/>
    </w:p>
    <w:p w14:paraId="15C4AB40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r w:rsidRPr="002E095B">
        <w:rPr>
          <w:rFonts w:ascii="Times New Roman" w:hAnsi="Times New Roman" w:cs="Times New Roman"/>
          <w:sz w:val="26"/>
          <w:szCs w:val="26"/>
        </w:rPr>
        <w:t xml:space="preserve">Porsche Cayenne 2024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Việt Nam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Porsche Cayenne 2024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niêm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yết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6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1"/>
        <w:gridCol w:w="1840"/>
        <w:gridCol w:w="4716"/>
      </w:tblGrid>
      <w:tr w:rsidR="002E095B" w:rsidRPr="002E095B" w14:paraId="318819C8" w14:textId="77777777" w:rsidTr="002E095B">
        <w:trPr>
          <w:trHeight w:val="466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EA62E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14203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bán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lẻ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AE3DDD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Khuyến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mãi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tháng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03-2025</w:t>
            </w:r>
          </w:p>
        </w:tc>
      </w:tr>
      <w:tr w:rsidR="002E095B" w:rsidRPr="002E095B" w14:paraId="0038C7AA" w14:textId="77777777" w:rsidTr="002E095B">
        <w:trPr>
          <w:trHeight w:val="479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51E6F8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Cayenne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6A5B6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4,720,000,000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E02D5B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2E095B" w:rsidRPr="002E095B" w14:paraId="03528889" w14:textId="77777777" w:rsidTr="002E095B">
        <w:trPr>
          <w:trHeight w:val="466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082CD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Cayenne Platinum Edition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B6B53C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5,160,000,000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3A0F4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2E095B" w:rsidRPr="002E095B" w14:paraId="786B72D1" w14:textId="77777777" w:rsidTr="002E095B">
        <w:trPr>
          <w:trHeight w:val="479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4CA5B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Cayenne 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7E554B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5,650,000,000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AF9BB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2E095B" w:rsidRPr="002E095B" w14:paraId="7B07F35A" w14:textId="77777777" w:rsidTr="002E095B">
        <w:trPr>
          <w:trHeight w:val="466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20ADBE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Cayenne GTS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B62890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7,530,000,000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3F14A5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2E095B" w:rsidRPr="002E095B" w14:paraId="3A523C6C" w14:textId="77777777" w:rsidTr="002E095B">
        <w:trPr>
          <w:trHeight w:val="479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FB5BC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Cayenne Turbo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BBD8D2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9,160,000,000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79BCF1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</w:tbl>
    <w:p w14:paraId="7FE4D106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lăn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bánh Porsche Cayenne 2024 &amp;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góp</w:t>
      </w:r>
      <w:proofErr w:type="spellEnd"/>
    </w:p>
    <w:p w14:paraId="0833D290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Porsche Cayenne</w:t>
      </w:r>
    </w:p>
    <w:p w14:paraId="472189B2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lăn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bánh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ước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10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3042"/>
        <w:gridCol w:w="2119"/>
        <w:gridCol w:w="2635"/>
      </w:tblGrid>
      <w:tr w:rsidR="002E095B" w:rsidRPr="002E095B" w14:paraId="22EE7502" w14:textId="77777777" w:rsidTr="002E095B">
        <w:tc>
          <w:tcPr>
            <w:tcW w:w="31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C5205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18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37A4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Hồ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Chí Minh</w:t>
            </w:r>
          </w:p>
        </w:tc>
        <w:tc>
          <w:tcPr>
            <w:tcW w:w="2242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070EB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Hà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295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CC9EA1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Khu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vực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</w:t>
            </w:r>
            <w:proofErr w:type="spellEnd"/>
          </w:p>
        </w:tc>
      </w:tr>
      <w:tr w:rsidR="002E095B" w:rsidRPr="002E095B" w14:paraId="24C1CC52" w14:textId="77777777" w:rsidTr="002E095B">
        <w:tc>
          <w:tcPr>
            <w:tcW w:w="31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0BA492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niêm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yết</w:t>
            </w:r>
            <w:proofErr w:type="spellEnd"/>
          </w:p>
        </w:tc>
        <w:tc>
          <w:tcPr>
            <w:tcW w:w="3518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53C86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4,720,000,000</w:t>
            </w:r>
          </w:p>
        </w:tc>
        <w:tc>
          <w:tcPr>
            <w:tcW w:w="2242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DF9F1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4,720,000,000</w:t>
            </w:r>
          </w:p>
        </w:tc>
        <w:tc>
          <w:tcPr>
            <w:tcW w:w="295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74152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4,720,000,000</w:t>
            </w:r>
          </w:p>
        </w:tc>
      </w:tr>
      <w:tr w:rsidR="002E095B" w:rsidRPr="002E095B" w14:paraId="1AF04B76" w14:textId="77777777" w:rsidTr="002E095B">
        <w:tc>
          <w:tcPr>
            <w:tcW w:w="31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C81DFC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2. Các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khoản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thuế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&amp;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</w:t>
            </w:r>
            <w:proofErr w:type="spellEnd"/>
          </w:p>
        </w:tc>
        <w:tc>
          <w:tcPr>
            <w:tcW w:w="3518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332F3A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494,380,700</w:t>
            </w:r>
          </w:p>
        </w:tc>
        <w:tc>
          <w:tcPr>
            <w:tcW w:w="2242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7A660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588,780,700</w:t>
            </w:r>
          </w:p>
        </w:tc>
        <w:tc>
          <w:tcPr>
            <w:tcW w:w="295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A696B4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475,380,700</w:t>
            </w:r>
          </w:p>
        </w:tc>
      </w:tr>
      <w:tr w:rsidR="002E095B" w:rsidRPr="002E095B" w14:paraId="33D93CB4" w14:textId="77777777" w:rsidTr="002E095B">
        <w:tc>
          <w:tcPr>
            <w:tcW w:w="31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8BC011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Thuế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trước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bạ</w:t>
            </w:r>
            <w:proofErr w:type="spellEnd"/>
          </w:p>
        </w:tc>
        <w:tc>
          <w:tcPr>
            <w:tcW w:w="3518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54099D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472,000,000</w:t>
            </w:r>
          </w:p>
        </w:tc>
        <w:tc>
          <w:tcPr>
            <w:tcW w:w="2242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01CA23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566,400,000</w:t>
            </w:r>
          </w:p>
        </w:tc>
        <w:tc>
          <w:tcPr>
            <w:tcW w:w="295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B49588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472,000,000</w:t>
            </w:r>
          </w:p>
        </w:tc>
      </w:tr>
      <w:tr w:rsidR="002E095B" w:rsidRPr="002E095B" w14:paraId="1EFA97B8" w14:textId="77777777" w:rsidTr="002E095B">
        <w:tc>
          <w:tcPr>
            <w:tcW w:w="31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FA8502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Phí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đăng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kiểm</w:t>
            </w:r>
            <w:proofErr w:type="spellEnd"/>
          </w:p>
        </w:tc>
        <w:tc>
          <w:tcPr>
            <w:tcW w:w="3518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CD595F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340,000</w:t>
            </w:r>
          </w:p>
        </w:tc>
        <w:tc>
          <w:tcPr>
            <w:tcW w:w="2242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A5B77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340,000</w:t>
            </w:r>
          </w:p>
        </w:tc>
        <w:tc>
          <w:tcPr>
            <w:tcW w:w="295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3C8CA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340,000</w:t>
            </w:r>
          </w:p>
        </w:tc>
      </w:tr>
      <w:tr w:rsidR="002E095B" w:rsidRPr="002E095B" w14:paraId="4A564DD5" w14:textId="77777777" w:rsidTr="002E095B">
        <w:tc>
          <w:tcPr>
            <w:tcW w:w="31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B3960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Phí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bảo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trì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đường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3518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F4CEF2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1,560,000</w:t>
            </w:r>
          </w:p>
        </w:tc>
        <w:tc>
          <w:tcPr>
            <w:tcW w:w="2242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4072A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1,560,000</w:t>
            </w:r>
          </w:p>
        </w:tc>
        <w:tc>
          <w:tcPr>
            <w:tcW w:w="295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38371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1,560,000</w:t>
            </w:r>
          </w:p>
        </w:tc>
      </w:tr>
      <w:tr w:rsidR="002E095B" w:rsidRPr="002E095B" w14:paraId="06712EA2" w14:textId="77777777" w:rsidTr="002E095B">
        <w:tc>
          <w:tcPr>
            <w:tcW w:w="31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F4BEAA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Bảo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hiểm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trách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nhiệm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dân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sự</w:t>
            </w:r>
            <w:proofErr w:type="spellEnd"/>
          </w:p>
        </w:tc>
        <w:tc>
          <w:tcPr>
            <w:tcW w:w="3518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37B3E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480,700</w:t>
            </w:r>
          </w:p>
        </w:tc>
        <w:tc>
          <w:tcPr>
            <w:tcW w:w="2242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BBA2F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480,700</w:t>
            </w:r>
          </w:p>
        </w:tc>
        <w:tc>
          <w:tcPr>
            <w:tcW w:w="295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8293EA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480,700</w:t>
            </w:r>
          </w:p>
        </w:tc>
      </w:tr>
      <w:tr w:rsidR="002E095B" w:rsidRPr="002E095B" w14:paraId="5B1F40DF" w14:textId="77777777" w:rsidTr="002E095B">
        <w:tc>
          <w:tcPr>
            <w:tcW w:w="31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6C04A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Phí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đăng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kí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ra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biển</w:t>
            </w:r>
            <w:proofErr w:type="spellEnd"/>
          </w:p>
        </w:tc>
        <w:tc>
          <w:tcPr>
            <w:tcW w:w="3518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DB9CA4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20,000,000</w:t>
            </w:r>
          </w:p>
        </w:tc>
        <w:tc>
          <w:tcPr>
            <w:tcW w:w="2242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51D8B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20,000,000</w:t>
            </w:r>
          </w:p>
        </w:tc>
        <w:tc>
          <w:tcPr>
            <w:tcW w:w="295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1B086E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1,000,000</w:t>
            </w:r>
          </w:p>
        </w:tc>
      </w:tr>
      <w:tr w:rsidR="002E095B" w:rsidRPr="002E095B" w14:paraId="51616EF4" w14:textId="77777777" w:rsidTr="002E095B">
        <w:tc>
          <w:tcPr>
            <w:tcW w:w="31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88DD7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chi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(1+2)</w:t>
            </w:r>
          </w:p>
        </w:tc>
        <w:tc>
          <w:tcPr>
            <w:tcW w:w="3518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36615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5,214,380,700</w:t>
            </w:r>
          </w:p>
        </w:tc>
        <w:tc>
          <w:tcPr>
            <w:tcW w:w="2242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4170EC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5,308,780,700</w:t>
            </w:r>
          </w:p>
        </w:tc>
        <w:tc>
          <w:tcPr>
            <w:tcW w:w="295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95BC30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5,195,380,700</w:t>
            </w:r>
          </w:p>
        </w:tc>
      </w:tr>
    </w:tbl>
    <w:p w14:paraId="21EA67AD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Ước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mức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góp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thiểu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(85%):</w:t>
      </w:r>
    </w:p>
    <w:tbl>
      <w:tblPr>
        <w:tblW w:w="10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7"/>
        <w:gridCol w:w="5193"/>
      </w:tblGrid>
      <w:tr w:rsidR="002E095B" w:rsidRPr="002E095B" w14:paraId="21204978" w14:textId="77777777" w:rsidTr="002E095B">
        <w:trPr>
          <w:trHeight w:val="705"/>
        </w:trPr>
        <w:tc>
          <w:tcPr>
            <w:tcW w:w="5141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9813F1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Dòng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5186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1D1F4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Cayenne</w:t>
            </w:r>
          </w:p>
        </w:tc>
      </w:tr>
      <w:tr w:rsidR="002E095B" w:rsidRPr="002E095B" w14:paraId="35C9733C" w14:textId="77777777" w:rsidTr="002E095B">
        <w:trPr>
          <w:trHeight w:val="705"/>
        </w:trPr>
        <w:tc>
          <w:tcPr>
            <w:tcW w:w="5141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F538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</w:p>
        </w:tc>
        <w:tc>
          <w:tcPr>
            <w:tcW w:w="5186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4B1E5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4,720,000,000</w:t>
            </w:r>
          </w:p>
        </w:tc>
      </w:tr>
      <w:tr w:rsidR="002E095B" w:rsidRPr="002E095B" w14:paraId="4466C6C8" w14:textId="77777777" w:rsidTr="002E095B">
        <w:trPr>
          <w:trHeight w:val="705"/>
        </w:trPr>
        <w:tc>
          <w:tcPr>
            <w:tcW w:w="5141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6A4DC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vay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(85%)</w:t>
            </w:r>
          </w:p>
        </w:tc>
        <w:tc>
          <w:tcPr>
            <w:tcW w:w="5186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FF3A26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4,012,000,000</w:t>
            </w:r>
          </w:p>
        </w:tc>
      </w:tr>
      <w:tr w:rsidR="002E095B" w:rsidRPr="002E095B" w14:paraId="14FE3725" w14:textId="77777777" w:rsidTr="002E095B">
        <w:trPr>
          <w:trHeight w:val="705"/>
        </w:trPr>
        <w:tc>
          <w:tcPr>
            <w:tcW w:w="5141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4AD9D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(15%)</w:t>
            </w:r>
          </w:p>
        </w:tc>
        <w:tc>
          <w:tcPr>
            <w:tcW w:w="5186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E53A67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708,000,000</w:t>
            </w:r>
          </w:p>
        </w:tc>
      </w:tr>
      <w:tr w:rsidR="002E095B" w:rsidRPr="002E095B" w14:paraId="1027923C" w14:textId="77777777" w:rsidTr="002E095B">
        <w:trPr>
          <w:trHeight w:val="705"/>
        </w:trPr>
        <w:tc>
          <w:tcPr>
            <w:tcW w:w="5141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642FB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biển</w:t>
            </w:r>
            <w:proofErr w:type="spellEnd"/>
          </w:p>
        </w:tc>
        <w:tc>
          <w:tcPr>
            <w:tcW w:w="5186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948E65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494,380,700</w:t>
            </w:r>
          </w:p>
        </w:tc>
      </w:tr>
      <w:tr w:rsidR="002E095B" w:rsidRPr="002E095B" w14:paraId="2A541772" w14:textId="77777777" w:rsidTr="002E095B">
        <w:trPr>
          <w:trHeight w:val="705"/>
        </w:trPr>
        <w:tc>
          <w:tcPr>
            <w:tcW w:w="5141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1BD98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Trả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trước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5186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35A17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1,202,380,700</w:t>
            </w:r>
          </w:p>
        </w:tc>
      </w:tr>
    </w:tbl>
    <w:p w14:paraId="77144A40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Porsche Cayenne Platinum Edition</w:t>
      </w:r>
    </w:p>
    <w:p w14:paraId="60717149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lăn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bánh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ước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9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6"/>
        <w:gridCol w:w="2476"/>
        <w:gridCol w:w="2468"/>
        <w:gridCol w:w="2472"/>
      </w:tblGrid>
      <w:tr w:rsidR="002E095B" w:rsidRPr="002E095B" w14:paraId="12B69B1E" w14:textId="77777777" w:rsidTr="002E095B">
        <w:trPr>
          <w:trHeight w:val="461"/>
        </w:trPr>
        <w:tc>
          <w:tcPr>
            <w:tcW w:w="2226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13D70E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6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2E369C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Hồ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Chí Minh</w:t>
            </w:r>
          </w:p>
        </w:tc>
        <w:tc>
          <w:tcPr>
            <w:tcW w:w="2468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F1E8B2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Hà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2472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78CF55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Khu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vực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</w:t>
            </w:r>
            <w:proofErr w:type="spellEnd"/>
          </w:p>
        </w:tc>
      </w:tr>
      <w:tr w:rsidR="002E095B" w:rsidRPr="002E095B" w14:paraId="1505D3EE" w14:textId="77777777" w:rsidTr="002E095B">
        <w:trPr>
          <w:trHeight w:val="473"/>
        </w:trPr>
        <w:tc>
          <w:tcPr>
            <w:tcW w:w="2226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979F6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niêm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yết</w:t>
            </w:r>
            <w:proofErr w:type="spellEnd"/>
          </w:p>
        </w:tc>
        <w:tc>
          <w:tcPr>
            <w:tcW w:w="2476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7889DB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5,160,000,000</w:t>
            </w:r>
          </w:p>
        </w:tc>
        <w:tc>
          <w:tcPr>
            <w:tcW w:w="2468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4D4A3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5,160,000,000</w:t>
            </w:r>
          </w:p>
        </w:tc>
        <w:tc>
          <w:tcPr>
            <w:tcW w:w="2472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25539F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5,160,000,000</w:t>
            </w:r>
          </w:p>
        </w:tc>
      </w:tr>
      <w:tr w:rsidR="002E095B" w:rsidRPr="002E095B" w14:paraId="2AF6856B" w14:textId="77777777" w:rsidTr="002E095B">
        <w:trPr>
          <w:trHeight w:val="781"/>
        </w:trPr>
        <w:tc>
          <w:tcPr>
            <w:tcW w:w="2226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A00AC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Các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khoản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thuế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&amp;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</w:t>
            </w:r>
            <w:proofErr w:type="spellEnd"/>
          </w:p>
        </w:tc>
        <w:tc>
          <w:tcPr>
            <w:tcW w:w="2476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CA72C5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538,380,700</w:t>
            </w:r>
          </w:p>
        </w:tc>
        <w:tc>
          <w:tcPr>
            <w:tcW w:w="2468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A1E0C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641,580,700</w:t>
            </w:r>
          </w:p>
        </w:tc>
        <w:tc>
          <w:tcPr>
            <w:tcW w:w="2472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9441B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519,380,700</w:t>
            </w:r>
          </w:p>
        </w:tc>
      </w:tr>
      <w:tr w:rsidR="002E095B" w:rsidRPr="002E095B" w14:paraId="75778AF1" w14:textId="77777777" w:rsidTr="002E095B">
        <w:trPr>
          <w:trHeight w:val="473"/>
        </w:trPr>
        <w:tc>
          <w:tcPr>
            <w:tcW w:w="2226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6929E5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Thuế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trước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bạ</w:t>
            </w:r>
            <w:proofErr w:type="spellEnd"/>
          </w:p>
        </w:tc>
        <w:tc>
          <w:tcPr>
            <w:tcW w:w="2476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790FBB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516,000,000</w:t>
            </w:r>
          </w:p>
        </w:tc>
        <w:tc>
          <w:tcPr>
            <w:tcW w:w="2468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D5518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619,200,000</w:t>
            </w:r>
          </w:p>
        </w:tc>
        <w:tc>
          <w:tcPr>
            <w:tcW w:w="2472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96639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516,000,000</w:t>
            </w:r>
          </w:p>
        </w:tc>
      </w:tr>
      <w:tr w:rsidR="002E095B" w:rsidRPr="002E095B" w14:paraId="1F555278" w14:textId="77777777" w:rsidTr="002E095B">
        <w:trPr>
          <w:trHeight w:val="461"/>
        </w:trPr>
        <w:tc>
          <w:tcPr>
            <w:tcW w:w="2226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1A3FC2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Phí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đăng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kiểm</w:t>
            </w:r>
            <w:proofErr w:type="spellEnd"/>
          </w:p>
        </w:tc>
        <w:tc>
          <w:tcPr>
            <w:tcW w:w="2476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CA0DC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340,000</w:t>
            </w:r>
          </w:p>
        </w:tc>
        <w:tc>
          <w:tcPr>
            <w:tcW w:w="2468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83F847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340,000</w:t>
            </w:r>
          </w:p>
        </w:tc>
        <w:tc>
          <w:tcPr>
            <w:tcW w:w="2472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D8AC42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340,000</w:t>
            </w:r>
          </w:p>
        </w:tc>
      </w:tr>
      <w:tr w:rsidR="002E095B" w:rsidRPr="002E095B" w14:paraId="5E31F3B6" w14:textId="77777777" w:rsidTr="002E095B">
        <w:trPr>
          <w:trHeight w:val="793"/>
        </w:trPr>
        <w:tc>
          <w:tcPr>
            <w:tcW w:w="2226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98E0D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Phí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bảo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trì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đường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2476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DB5500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1,560,000</w:t>
            </w:r>
          </w:p>
        </w:tc>
        <w:tc>
          <w:tcPr>
            <w:tcW w:w="2468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58B765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1,560,000</w:t>
            </w:r>
          </w:p>
        </w:tc>
        <w:tc>
          <w:tcPr>
            <w:tcW w:w="2472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8061BA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1,560,000</w:t>
            </w:r>
          </w:p>
        </w:tc>
      </w:tr>
      <w:tr w:rsidR="002E095B" w:rsidRPr="002E095B" w14:paraId="388EC795" w14:textId="77777777" w:rsidTr="002E095B">
        <w:trPr>
          <w:trHeight w:val="781"/>
        </w:trPr>
        <w:tc>
          <w:tcPr>
            <w:tcW w:w="2226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5F707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Bảo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hiểm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trách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nhiệm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dân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sự</w:t>
            </w:r>
            <w:proofErr w:type="spellEnd"/>
          </w:p>
        </w:tc>
        <w:tc>
          <w:tcPr>
            <w:tcW w:w="2476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6AA641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480,700</w:t>
            </w:r>
          </w:p>
        </w:tc>
        <w:tc>
          <w:tcPr>
            <w:tcW w:w="2468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8CC5A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480,700</w:t>
            </w:r>
          </w:p>
        </w:tc>
        <w:tc>
          <w:tcPr>
            <w:tcW w:w="2472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447024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480,700</w:t>
            </w:r>
          </w:p>
        </w:tc>
      </w:tr>
      <w:tr w:rsidR="002E095B" w:rsidRPr="002E095B" w14:paraId="4629628D" w14:textId="77777777" w:rsidTr="002E095B">
        <w:trPr>
          <w:trHeight w:val="461"/>
        </w:trPr>
        <w:tc>
          <w:tcPr>
            <w:tcW w:w="2226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8B62F0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Phí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đăng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kí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ra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biển</w:t>
            </w:r>
            <w:proofErr w:type="spellEnd"/>
          </w:p>
        </w:tc>
        <w:tc>
          <w:tcPr>
            <w:tcW w:w="2476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5F79C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20,000,000</w:t>
            </w:r>
          </w:p>
        </w:tc>
        <w:tc>
          <w:tcPr>
            <w:tcW w:w="2468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003BD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20,000,000</w:t>
            </w:r>
          </w:p>
        </w:tc>
        <w:tc>
          <w:tcPr>
            <w:tcW w:w="2472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2C3CE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1,000,000</w:t>
            </w:r>
          </w:p>
        </w:tc>
      </w:tr>
      <w:tr w:rsidR="002E095B" w:rsidRPr="002E095B" w14:paraId="2B5B9228" w14:textId="77777777" w:rsidTr="002E095B">
        <w:trPr>
          <w:trHeight w:val="473"/>
        </w:trPr>
        <w:tc>
          <w:tcPr>
            <w:tcW w:w="2226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6A5FF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chi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(1+2)</w:t>
            </w:r>
          </w:p>
        </w:tc>
        <w:tc>
          <w:tcPr>
            <w:tcW w:w="2476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AFB42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5,698,380,700</w:t>
            </w:r>
          </w:p>
        </w:tc>
        <w:tc>
          <w:tcPr>
            <w:tcW w:w="2468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5E1BA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5,801,580,700</w:t>
            </w:r>
          </w:p>
        </w:tc>
        <w:tc>
          <w:tcPr>
            <w:tcW w:w="2472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172BD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5,679,380,700</w:t>
            </w:r>
          </w:p>
        </w:tc>
      </w:tr>
    </w:tbl>
    <w:p w14:paraId="7302C5AC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Ước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mức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góp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thiểu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(85%):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7"/>
        <w:gridCol w:w="5873"/>
      </w:tblGrid>
      <w:tr w:rsidR="002E095B" w:rsidRPr="002E095B" w14:paraId="6F39C1AA" w14:textId="77777777" w:rsidTr="002E095B">
        <w:tc>
          <w:tcPr>
            <w:tcW w:w="96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6639B7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Dòng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13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1006B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Cayenne Platinum Edition</w:t>
            </w:r>
          </w:p>
        </w:tc>
      </w:tr>
      <w:tr w:rsidR="002E095B" w:rsidRPr="002E095B" w14:paraId="70FB8F9A" w14:textId="77777777" w:rsidTr="002E095B">
        <w:tc>
          <w:tcPr>
            <w:tcW w:w="96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C78AD3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</w:p>
        </w:tc>
        <w:tc>
          <w:tcPr>
            <w:tcW w:w="13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258211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5,160,000,000</w:t>
            </w:r>
          </w:p>
        </w:tc>
      </w:tr>
      <w:tr w:rsidR="002E095B" w:rsidRPr="002E095B" w14:paraId="6120BF37" w14:textId="77777777" w:rsidTr="002E095B">
        <w:tc>
          <w:tcPr>
            <w:tcW w:w="96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C10772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vay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(85%)</w:t>
            </w:r>
          </w:p>
        </w:tc>
        <w:tc>
          <w:tcPr>
            <w:tcW w:w="13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478E08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4,386,000,000</w:t>
            </w:r>
          </w:p>
        </w:tc>
      </w:tr>
      <w:tr w:rsidR="002E095B" w:rsidRPr="002E095B" w14:paraId="25F01846" w14:textId="77777777" w:rsidTr="002E095B">
        <w:tc>
          <w:tcPr>
            <w:tcW w:w="96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5499FD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(15%)</w:t>
            </w:r>
          </w:p>
        </w:tc>
        <w:tc>
          <w:tcPr>
            <w:tcW w:w="13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A4662A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774,000,000</w:t>
            </w:r>
          </w:p>
        </w:tc>
      </w:tr>
      <w:tr w:rsidR="002E095B" w:rsidRPr="002E095B" w14:paraId="68AC9A7F" w14:textId="77777777" w:rsidTr="002E095B">
        <w:tc>
          <w:tcPr>
            <w:tcW w:w="96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E0060E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biển</w:t>
            </w:r>
            <w:proofErr w:type="spellEnd"/>
          </w:p>
        </w:tc>
        <w:tc>
          <w:tcPr>
            <w:tcW w:w="13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550BA5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538,380,700</w:t>
            </w:r>
          </w:p>
        </w:tc>
      </w:tr>
      <w:tr w:rsidR="002E095B" w:rsidRPr="002E095B" w14:paraId="62C49E64" w14:textId="77777777" w:rsidTr="002E095B">
        <w:tc>
          <w:tcPr>
            <w:tcW w:w="96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FE702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Trả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trước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13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E0EA5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1,312,380,700</w:t>
            </w:r>
          </w:p>
        </w:tc>
      </w:tr>
      <w:tr w:rsidR="002E095B" w:rsidRPr="002E095B" w14:paraId="43312DB0" w14:textId="77777777" w:rsidTr="002E095B">
        <w:tc>
          <w:tcPr>
            <w:tcW w:w="0" w:type="auto"/>
            <w:gridSpan w:val="2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FD42FD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LĂN BÁNH &amp; KHUYẾN MÃI TỐT NHẤT 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 Porsche Cayenne 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  <w:p w14:paraId="2DFFA387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!</w:t>
            </w:r>
          </w:p>
        </w:tc>
      </w:tr>
    </w:tbl>
    <w:p w14:paraId="50B282E4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Porsche Cayenne S</w:t>
      </w:r>
    </w:p>
    <w:p w14:paraId="6B544961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lăn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bánh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ước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10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2106"/>
        <w:gridCol w:w="2106"/>
        <w:gridCol w:w="2179"/>
      </w:tblGrid>
      <w:tr w:rsidR="002E095B" w:rsidRPr="002E095B" w14:paraId="10053D24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90054D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282692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Hồ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Chí Minh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5CB9CE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Hà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50FCF5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Khu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vực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</w:t>
            </w:r>
            <w:proofErr w:type="spellEnd"/>
          </w:p>
        </w:tc>
      </w:tr>
      <w:tr w:rsidR="002E095B" w:rsidRPr="002E095B" w14:paraId="57829C63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7448D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niêm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yết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DB116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5,650,000,000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F66FD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5,650,000,000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7EFB7C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5,650,000,000</w:t>
            </w:r>
          </w:p>
        </w:tc>
      </w:tr>
      <w:tr w:rsidR="002E095B" w:rsidRPr="002E095B" w14:paraId="18879A08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B661B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Các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khoản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thuế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&amp;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FD54B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587,380,700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664FB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700,380,700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CB6A5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568,380,700</w:t>
            </w:r>
          </w:p>
        </w:tc>
      </w:tr>
      <w:tr w:rsidR="002E095B" w:rsidRPr="002E095B" w14:paraId="30D991D2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CE054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Thuế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trước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bạ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A6AB91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565,000,000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10A43B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678,000,000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793B01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565,000,000</w:t>
            </w:r>
          </w:p>
        </w:tc>
      </w:tr>
      <w:tr w:rsidR="002E095B" w:rsidRPr="002E095B" w14:paraId="3636D6EC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BF3D1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Phí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đăng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kiểm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855A30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340,000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E1C54B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340,000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5AB0A0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340,000</w:t>
            </w:r>
          </w:p>
        </w:tc>
      </w:tr>
      <w:tr w:rsidR="002E095B" w:rsidRPr="002E095B" w14:paraId="1877B7C9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DFEBAE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Phí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bảo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trì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đường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16B25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1,560,000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584AE1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1,560,000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D4473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1,560,000</w:t>
            </w:r>
          </w:p>
        </w:tc>
      </w:tr>
      <w:tr w:rsidR="002E095B" w:rsidRPr="002E095B" w14:paraId="54A93049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D262DA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Bảo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hiểm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trách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nhiệm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dân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sự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70DF3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480,700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F0B6D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480,700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64104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480,700</w:t>
            </w:r>
          </w:p>
        </w:tc>
      </w:tr>
      <w:tr w:rsidR="002E095B" w:rsidRPr="002E095B" w14:paraId="30313A02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AE47D8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Phí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đăng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kí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ra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biển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0715D1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20,000,000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DCBF93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20,000,000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E63A4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1,000,000</w:t>
            </w:r>
          </w:p>
        </w:tc>
      </w:tr>
      <w:tr w:rsidR="002E095B" w:rsidRPr="002E095B" w14:paraId="08BCFCEA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8B37BD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chi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(1+2)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E645C5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6,237,380,700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0F76FF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6,350,380,700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550C12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6,218,380,700</w:t>
            </w:r>
          </w:p>
        </w:tc>
      </w:tr>
    </w:tbl>
    <w:p w14:paraId="553F3F8C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Ước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mức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góp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thiểu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(85%):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6"/>
        <w:gridCol w:w="4674"/>
      </w:tblGrid>
      <w:tr w:rsidR="002E095B" w:rsidRPr="002E095B" w14:paraId="341FE046" w14:textId="77777777" w:rsidTr="002E095B">
        <w:tc>
          <w:tcPr>
            <w:tcW w:w="16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5D3F2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Dòng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13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0CEF2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Cayenne S</w:t>
            </w:r>
          </w:p>
        </w:tc>
      </w:tr>
      <w:tr w:rsidR="002E095B" w:rsidRPr="002E095B" w14:paraId="6BCD51A6" w14:textId="77777777" w:rsidTr="002E095B">
        <w:tc>
          <w:tcPr>
            <w:tcW w:w="16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BA66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</w:p>
        </w:tc>
        <w:tc>
          <w:tcPr>
            <w:tcW w:w="13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BE0D5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5,650,000,000</w:t>
            </w:r>
          </w:p>
        </w:tc>
      </w:tr>
      <w:tr w:rsidR="002E095B" w:rsidRPr="002E095B" w14:paraId="27335DCF" w14:textId="77777777" w:rsidTr="002E095B">
        <w:tc>
          <w:tcPr>
            <w:tcW w:w="16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C23A53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vay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(85%)</w:t>
            </w:r>
          </w:p>
        </w:tc>
        <w:tc>
          <w:tcPr>
            <w:tcW w:w="13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46715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4,802,500,000</w:t>
            </w:r>
          </w:p>
        </w:tc>
      </w:tr>
      <w:tr w:rsidR="002E095B" w:rsidRPr="002E095B" w14:paraId="78E31DAC" w14:textId="77777777" w:rsidTr="002E095B">
        <w:tc>
          <w:tcPr>
            <w:tcW w:w="16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2851E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Phần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(15%)</w:t>
            </w:r>
          </w:p>
        </w:tc>
        <w:tc>
          <w:tcPr>
            <w:tcW w:w="13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D9D593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847,500,000</w:t>
            </w:r>
          </w:p>
        </w:tc>
      </w:tr>
      <w:tr w:rsidR="002E095B" w:rsidRPr="002E095B" w14:paraId="7604D399" w14:textId="77777777" w:rsidTr="002E095B">
        <w:tc>
          <w:tcPr>
            <w:tcW w:w="16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F6554F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biển</w:t>
            </w:r>
            <w:proofErr w:type="spellEnd"/>
          </w:p>
        </w:tc>
        <w:tc>
          <w:tcPr>
            <w:tcW w:w="13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37B0F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587,380,700</w:t>
            </w:r>
          </w:p>
        </w:tc>
      </w:tr>
      <w:tr w:rsidR="002E095B" w:rsidRPr="002E095B" w14:paraId="3C4FF751" w14:textId="77777777" w:rsidTr="002E095B">
        <w:tc>
          <w:tcPr>
            <w:tcW w:w="16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69D2D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Trả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trước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13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8A647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1,434,880,700</w:t>
            </w:r>
          </w:p>
        </w:tc>
      </w:tr>
    </w:tbl>
    <w:p w14:paraId="62CFAC46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Porsche Cayenne GTS</w:t>
      </w:r>
    </w:p>
    <w:p w14:paraId="5410EF11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lăn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bánh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ước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10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2106"/>
        <w:gridCol w:w="2106"/>
        <w:gridCol w:w="2179"/>
      </w:tblGrid>
      <w:tr w:rsidR="002E095B" w:rsidRPr="002E095B" w14:paraId="162F2E2D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03FC3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AD47D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Hồ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Chí Minh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67F2D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Hà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49AAEE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Khu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vực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</w:t>
            </w:r>
            <w:proofErr w:type="spellEnd"/>
          </w:p>
        </w:tc>
      </w:tr>
      <w:tr w:rsidR="002E095B" w:rsidRPr="002E095B" w14:paraId="63766E6A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0B334A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niêm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yết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B678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7,530,000,000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7FE1D1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7,530,000,000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6C9BF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7,530,000,000</w:t>
            </w:r>
          </w:p>
        </w:tc>
      </w:tr>
      <w:tr w:rsidR="002E095B" w:rsidRPr="002E095B" w14:paraId="4FE44371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76C407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Các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khoản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thuế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&amp;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4B337B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775,380,700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02E7F3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925,980,700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92F31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756,380,700</w:t>
            </w:r>
          </w:p>
        </w:tc>
      </w:tr>
      <w:tr w:rsidR="002E095B" w:rsidRPr="002E095B" w14:paraId="3E9E3AA1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C1B53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Thuế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trước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bạ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0E764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753,000,000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9AF90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903,600,000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0F5B1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753,000,000</w:t>
            </w:r>
          </w:p>
        </w:tc>
      </w:tr>
      <w:tr w:rsidR="002E095B" w:rsidRPr="002E095B" w14:paraId="7277FD7F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BF63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Phí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đăng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kiểm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61CA57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340,000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C3914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340,000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46AD6D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340,000</w:t>
            </w:r>
          </w:p>
        </w:tc>
      </w:tr>
      <w:tr w:rsidR="002E095B" w:rsidRPr="002E095B" w14:paraId="60A3C385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4D53F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Phí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bảo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trì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đường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B578C6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1,560,000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E72830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1,560,000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FD7CA6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1,560,000</w:t>
            </w:r>
          </w:p>
        </w:tc>
      </w:tr>
      <w:tr w:rsidR="002E095B" w:rsidRPr="002E095B" w14:paraId="46A86B88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90AFA5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Bảo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hiểm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trách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nhiệm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dân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sự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AEF6C1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480,700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3D0B3A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480,700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E483FD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480,700</w:t>
            </w:r>
          </w:p>
        </w:tc>
      </w:tr>
      <w:tr w:rsidR="002E095B" w:rsidRPr="002E095B" w14:paraId="31D783E0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22C74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Phí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đăng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kí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ra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biển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03523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20,000,000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632EC4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20,000,000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06181B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1,000,000</w:t>
            </w:r>
          </w:p>
        </w:tc>
      </w:tr>
      <w:tr w:rsidR="002E095B" w:rsidRPr="002E095B" w14:paraId="5D28E7DE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AE777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chi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(1+2)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BE97D2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8,305,380,700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33A18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8,455,980,700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8664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8,286,380,700</w:t>
            </w:r>
          </w:p>
        </w:tc>
      </w:tr>
    </w:tbl>
    <w:p w14:paraId="05541854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Ước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mức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góp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thiểu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(85%):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6"/>
        <w:gridCol w:w="4674"/>
      </w:tblGrid>
      <w:tr w:rsidR="002E095B" w:rsidRPr="002E095B" w14:paraId="53481B30" w14:textId="77777777" w:rsidTr="002E095B">
        <w:trPr>
          <w:trHeight w:val="705"/>
        </w:trPr>
        <w:tc>
          <w:tcPr>
            <w:tcW w:w="16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5F87B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Dòng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13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8A2F5E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Cayenne GTS</w:t>
            </w:r>
          </w:p>
        </w:tc>
      </w:tr>
      <w:tr w:rsidR="002E095B" w:rsidRPr="002E095B" w14:paraId="34BB2409" w14:textId="77777777" w:rsidTr="002E095B">
        <w:trPr>
          <w:trHeight w:val="713"/>
        </w:trPr>
        <w:tc>
          <w:tcPr>
            <w:tcW w:w="16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47EBD0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</w:p>
        </w:tc>
        <w:tc>
          <w:tcPr>
            <w:tcW w:w="13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2E4934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7,530,000,000</w:t>
            </w:r>
          </w:p>
        </w:tc>
      </w:tr>
      <w:tr w:rsidR="002E095B" w:rsidRPr="002E095B" w14:paraId="44E854D8" w14:textId="77777777" w:rsidTr="002E095B">
        <w:trPr>
          <w:trHeight w:val="705"/>
        </w:trPr>
        <w:tc>
          <w:tcPr>
            <w:tcW w:w="16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624670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Mức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vay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(85%)</w:t>
            </w:r>
          </w:p>
        </w:tc>
        <w:tc>
          <w:tcPr>
            <w:tcW w:w="13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4F001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6,400,500,000</w:t>
            </w:r>
          </w:p>
        </w:tc>
      </w:tr>
      <w:tr w:rsidR="002E095B" w:rsidRPr="002E095B" w14:paraId="0BFFFFC6" w14:textId="77777777" w:rsidTr="002E095B">
        <w:trPr>
          <w:trHeight w:val="705"/>
        </w:trPr>
        <w:tc>
          <w:tcPr>
            <w:tcW w:w="16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BAD53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(15%)</w:t>
            </w:r>
          </w:p>
        </w:tc>
        <w:tc>
          <w:tcPr>
            <w:tcW w:w="13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50E3C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1,129,500,000</w:t>
            </w:r>
          </w:p>
        </w:tc>
      </w:tr>
      <w:tr w:rsidR="002E095B" w:rsidRPr="002E095B" w14:paraId="119772BF" w14:textId="77777777" w:rsidTr="002E095B">
        <w:trPr>
          <w:trHeight w:val="705"/>
        </w:trPr>
        <w:tc>
          <w:tcPr>
            <w:tcW w:w="16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3F8A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biển</w:t>
            </w:r>
            <w:proofErr w:type="spellEnd"/>
          </w:p>
        </w:tc>
        <w:tc>
          <w:tcPr>
            <w:tcW w:w="13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677243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775,380,700</w:t>
            </w:r>
          </w:p>
        </w:tc>
      </w:tr>
      <w:tr w:rsidR="002E095B" w:rsidRPr="002E095B" w14:paraId="32DEFF7E" w14:textId="77777777" w:rsidTr="002E095B">
        <w:trPr>
          <w:trHeight w:val="705"/>
        </w:trPr>
        <w:tc>
          <w:tcPr>
            <w:tcW w:w="16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9CD58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Trả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trước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13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79F81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1,904,880,700</w:t>
            </w:r>
          </w:p>
        </w:tc>
      </w:tr>
    </w:tbl>
    <w:p w14:paraId="2FFC4045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Porsche Cayenne Turbo</w:t>
      </w:r>
    </w:p>
    <w:p w14:paraId="7B3A5315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lăn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bánh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ước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10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9"/>
        <w:gridCol w:w="2177"/>
        <w:gridCol w:w="2177"/>
        <w:gridCol w:w="2177"/>
      </w:tblGrid>
      <w:tr w:rsidR="002E095B" w:rsidRPr="002E095B" w14:paraId="7414D705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92396E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B1DA8D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Hồ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Chí Minh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19FF6E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Hà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8FF3E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Khu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vực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</w:t>
            </w:r>
            <w:proofErr w:type="spellEnd"/>
          </w:p>
        </w:tc>
      </w:tr>
      <w:tr w:rsidR="002E095B" w:rsidRPr="002E095B" w14:paraId="53FFC1C0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9D16D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niêm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yết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34311D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9,160,000,000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D22AB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9,160,000,000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7BAA2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9,160,000,000</w:t>
            </w:r>
          </w:p>
        </w:tc>
      </w:tr>
      <w:tr w:rsidR="002E095B" w:rsidRPr="002E095B" w14:paraId="25E9C6EF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8C7FB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Các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khoản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thuế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&amp;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DCAADE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938,380,700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3F9D0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1,121,580,700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38173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919,380,700</w:t>
            </w:r>
          </w:p>
        </w:tc>
      </w:tr>
      <w:tr w:rsidR="002E095B" w:rsidRPr="002E095B" w14:paraId="699F3AD2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19478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Thuế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trước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bạ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298AAC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916,000,000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9C27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1,099,200,000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67B92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916,000,000</w:t>
            </w:r>
          </w:p>
        </w:tc>
      </w:tr>
      <w:tr w:rsidR="002E095B" w:rsidRPr="002E095B" w14:paraId="34C41510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A07FA1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Phí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đăng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kiểm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4D0832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340,000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055A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340,000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2F2AA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340,000</w:t>
            </w:r>
          </w:p>
        </w:tc>
      </w:tr>
      <w:tr w:rsidR="002E095B" w:rsidRPr="002E095B" w14:paraId="0E46D573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68CE38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Phí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bảo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trì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đường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BC23A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1,560,000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0B601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1,560,000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31344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1,560,000</w:t>
            </w:r>
          </w:p>
        </w:tc>
      </w:tr>
      <w:tr w:rsidR="002E095B" w:rsidRPr="002E095B" w14:paraId="1819A4C7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743AA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Bảo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hiểm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trách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nhiệm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dân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sự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BB503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480,700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0C0F47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480,700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2F2CF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480,700</w:t>
            </w:r>
          </w:p>
        </w:tc>
      </w:tr>
      <w:tr w:rsidR="002E095B" w:rsidRPr="002E095B" w14:paraId="6A53EC8B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314E6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Phí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đăng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kí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ra</w:t>
            </w:r>
            <w:proofErr w:type="spellEnd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biển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D594A4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20,000,000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456A8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20,000,000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D4745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1,000,000</w:t>
            </w:r>
          </w:p>
        </w:tc>
      </w:tr>
      <w:tr w:rsidR="002E095B" w:rsidRPr="002E095B" w14:paraId="1FE9D6D7" w14:textId="77777777" w:rsidTr="002E095B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67F77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chi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(1+2)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4D271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10,098,380,700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A2D90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10,281,580,700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72D88A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10,079,380,700</w:t>
            </w:r>
          </w:p>
        </w:tc>
      </w:tr>
    </w:tbl>
    <w:p w14:paraId="68E3AC20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Ước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mức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góp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thiểu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(85%):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6"/>
        <w:gridCol w:w="4674"/>
      </w:tblGrid>
      <w:tr w:rsidR="002E095B" w:rsidRPr="002E095B" w14:paraId="710D9A67" w14:textId="77777777" w:rsidTr="002E095B">
        <w:tc>
          <w:tcPr>
            <w:tcW w:w="16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4F4668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Dòng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13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4CC425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Cayenne Turbo</w:t>
            </w:r>
          </w:p>
        </w:tc>
      </w:tr>
      <w:tr w:rsidR="002E095B" w:rsidRPr="002E095B" w14:paraId="7B1D360F" w14:textId="77777777" w:rsidTr="002E095B">
        <w:tc>
          <w:tcPr>
            <w:tcW w:w="16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E95A5A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Giá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</w:p>
        </w:tc>
        <w:tc>
          <w:tcPr>
            <w:tcW w:w="13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3C0F20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9,160,000,000</w:t>
            </w:r>
          </w:p>
        </w:tc>
      </w:tr>
      <w:tr w:rsidR="002E095B" w:rsidRPr="002E095B" w14:paraId="4DB34DE3" w14:textId="77777777" w:rsidTr="002E095B">
        <w:tc>
          <w:tcPr>
            <w:tcW w:w="16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FCBD2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vay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(85%)</w:t>
            </w:r>
          </w:p>
        </w:tc>
        <w:tc>
          <w:tcPr>
            <w:tcW w:w="13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2B0032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7,786,000,000</w:t>
            </w:r>
          </w:p>
        </w:tc>
      </w:tr>
      <w:tr w:rsidR="002E095B" w:rsidRPr="002E095B" w14:paraId="4F037065" w14:textId="77777777" w:rsidTr="002E095B">
        <w:tc>
          <w:tcPr>
            <w:tcW w:w="16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BFE17E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(15%)</w:t>
            </w:r>
          </w:p>
        </w:tc>
        <w:tc>
          <w:tcPr>
            <w:tcW w:w="13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A8B6B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1,374,000,000</w:t>
            </w:r>
          </w:p>
        </w:tc>
      </w:tr>
      <w:tr w:rsidR="002E095B" w:rsidRPr="002E095B" w14:paraId="1D03BBE6" w14:textId="77777777" w:rsidTr="002E095B">
        <w:tc>
          <w:tcPr>
            <w:tcW w:w="16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BBB71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biển</w:t>
            </w:r>
            <w:proofErr w:type="spellEnd"/>
          </w:p>
        </w:tc>
        <w:tc>
          <w:tcPr>
            <w:tcW w:w="13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52B558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938,380,700</w:t>
            </w:r>
          </w:p>
        </w:tc>
      </w:tr>
      <w:tr w:rsidR="002E095B" w:rsidRPr="002E095B" w14:paraId="29FC914B" w14:textId="77777777" w:rsidTr="002E095B">
        <w:tc>
          <w:tcPr>
            <w:tcW w:w="16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C329C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Trả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trước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133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3E4C2A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2,312,380,700</w:t>
            </w:r>
          </w:p>
        </w:tc>
      </w:tr>
    </w:tbl>
    <w:p w14:paraId="595EC043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Màu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Porsche Cayenne 2024</w:t>
      </w:r>
    </w:p>
    <w:p w14:paraId="2302B843" w14:textId="5134BD98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r w:rsidRPr="002E095B">
        <w:rPr>
          <w:rFonts w:ascii="Times New Roman" w:hAnsi="Times New Roman" w:cs="Times New Roman"/>
          <w:sz w:val="26"/>
          <w:szCs w:val="26"/>
        </w:rPr>
        <w:t xml:space="preserve">Porsche Cayenne 2024 mang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Dĩ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tông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2AC5125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> 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Porsche Cayenne 2024 chi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</w:p>
    <w:p w14:paraId="47B1C685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Ngoại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thất</w:t>
      </w:r>
      <w:proofErr w:type="spellEnd"/>
    </w:p>
    <w:p w14:paraId="0A19B124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r w:rsidRPr="002E095B">
        <w:rPr>
          <w:rFonts w:ascii="Times New Roman" w:hAnsi="Times New Roman" w:cs="Times New Roman"/>
          <w:sz w:val="26"/>
          <w:szCs w:val="26"/>
        </w:rPr>
        <w:t xml:space="preserve">Porsche Cayenne 2024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hào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nhoáng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ráo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gầm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4.918 x 1.983 x 1.696 (mm).</w:t>
      </w:r>
    </w:p>
    <w:p w14:paraId="16AD56DF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tản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hốc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đậm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tản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nan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>.</w:t>
      </w:r>
    </w:p>
    <w:p w14:paraId="12EA639C" w14:textId="6F5A49E8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Porsche Cayenne 2024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tản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nhiệt</w:t>
      </w:r>
      <w:proofErr w:type="spellEnd"/>
    </w:p>
    <w:p w14:paraId="44FC0CCC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 Porsche Cayenne 2024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bướm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4 “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đá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chùm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tia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84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capo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vuốt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gân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>.</w:t>
      </w:r>
    </w:p>
    <w:p w14:paraId="1483BFA2" w14:textId="75D23360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r w:rsidRPr="002E095B">
        <w:rPr>
          <w:rFonts w:ascii="Times New Roman" w:hAnsi="Times New Roman" w:cs="Times New Roman"/>
          <w:sz w:val="26"/>
          <w:szCs w:val="26"/>
        </w:rPr>
        <w:t>La-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zăng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chấu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kép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má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bật</w:t>
      </w:r>
      <w:proofErr w:type="spellEnd"/>
    </w:p>
    <w:p w14:paraId="1D5B754F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 Porsche Cayenne 2024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gân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dập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hốc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bắp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. Tay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gương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la-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zăng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19 inch 5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chấu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kép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V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mảnh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>.</w:t>
      </w:r>
    </w:p>
    <w:p w14:paraId="58B007CD" w14:textId="1C09F1DF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Đuôi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Porsche Cayenne 2024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thao</w:t>
      </w:r>
      <w:proofErr w:type="spellEnd"/>
    </w:p>
    <w:p w14:paraId="742834D6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Đuôi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Porsche Cayenne 2024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nhường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lướt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lastRenderedPageBreak/>
        <w:t>gió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nóc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3,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xả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vắn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Cayenne.</w:t>
      </w:r>
    </w:p>
    <w:p w14:paraId="0C2796E1" w14:textId="45016CF8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2E095B">
        <w:rPr>
          <w:rFonts w:ascii="Times New Roman" w:hAnsi="Times New Roman" w:cs="Times New Roman"/>
          <w:b/>
          <w:bCs/>
          <w:sz w:val="26"/>
          <w:szCs w:val="26"/>
        </w:rPr>
        <w:t>ội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thất</w:t>
      </w:r>
      <w:proofErr w:type="spellEnd"/>
    </w:p>
    <w:p w14:paraId="65D3E8B0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r w:rsidRPr="002E095B">
        <w:rPr>
          <w:rFonts w:ascii="Times New Roman" w:hAnsi="Times New Roman" w:cs="Times New Roman"/>
          <w:sz w:val="26"/>
          <w:szCs w:val="26"/>
        </w:rPr>
        <w:t xml:space="preserve">Porsche Cayenne 2024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đua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dốc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Vô-lăng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chấu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lẫy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lăng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. Ngay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Analog bao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tua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7 inch 2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>.</w:t>
      </w:r>
    </w:p>
    <w:p w14:paraId="0D929590" w14:textId="62BE439B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r w:rsidRPr="002E095B">
        <w:rPr>
          <w:rFonts w:ascii="Times New Roman" w:hAnsi="Times New Roman" w:cs="Times New Roman"/>
          <w:sz w:val="26"/>
          <w:szCs w:val="26"/>
        </w:rPr>
        <w:t xml:space="preserve">Khu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Porsche Cayenne 2024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4B805ED3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Porsche Cayenne 2024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lưng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ôm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mệt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mỏi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lùi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160 mm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ngả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gập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lưng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>.</w:t>
      </w:r>
    </w:p>
    <w:p w14:paraId="16C29042" w14:textId="38346AA0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ôm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ngồi</w:t>
      </w:r>
      <w:proofErr w:type="spellEnd"/>
    </w:p>
    <w:p w14:paraId="4124F204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r w:rsidRPr="002E095B">
        <w:rPr>
          <w:rFonts w:ascii="Times New Roman" w:hAnsi="Times New Roman" w:cs="Times New Roman"/>
          <w:sz w:val="26"/>
          <w:szCs w:val="26"/>
        </w:rPr>
        <w:t xml:space="preserve">Dung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Porsche Cayenne 2024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770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lít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gập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1.710. Thao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cốp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>.</w:t>
      </w:r>
    </w:p>
    <w:p w14:paraId="41656C94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Tiện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nghi</w:t>
      </w:r>
      <w:proofErr w:type="spellEnd"/>
    </w:p>
    <w:p w14:paraId="6B033D88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dàn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>.</w:t>
      </w:r>
    </w:p>
    <w:p w14:paraId="765C8D74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Porsche Cayenne 2024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dàn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10 loa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GPS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Việt Nam,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Apple CarPlay, sim 4G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wifi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sạc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USB.</w:t>
      </w:r>
    </w:p>
    <w:p w14:paraId="57AB8F81" w14:textId="4DEB4362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loa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tapi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Porsche Cayenne 2024</w:t>
      </w:r>
    </w:p>
    <w:p w14:paraId="6BAD2526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vòm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3D Burmester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21 loa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loa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trầm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Bose 14 loa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710 watts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bao.</w:t>
      </w:r>
    </w:p>
    <w:p w14:paraId="6C77021C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Vận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</w:p>
    <w:p w14:paraId="2C98EE2D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Porsche Cayenne 2024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SUV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V6 turbo, 6 xi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lanh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4 van. Công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340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mômen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xoắn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450 Nm. Theo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0-100km/h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6.2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245km/h.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Tiptronic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4 bánh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>.</w:t>
      </w:r>
    </w:p>
    <w:p w14:paraId="01F5ED86" w14:textId="5584D679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lastRenderedPageBreak/>
        <w:t>Đánh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Porsche Cayenne 2024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SUV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0-100km/h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6.2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245km/h</w:t>
      </w:r>
    </w:p>
    <w:p w14:paraId="52A5D17F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r w:rsidRPr="002E095B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vô-lăng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núm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: Normal, Sport hay Sport + mang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>.</w:t>
      </w:r>
    </w:p>
    <w:p w14:paraId="3E62C83C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củaPorsche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Cayenne 2024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ga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vọt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khủng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>.</w:t>
      </w:r>
    </w:p>
    <w:p w14:paraId="3C841595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An</w:t>
      </w:r>
      <w:proofErr w:type="gram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</w:p>
    <w:p w14:paraId="323CBEEF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Porsche Cayenne 2024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>:</w:t>
      </w:r>
    </w:p>
    <w:p w14:paraId="5F75AD71" w14:textId="77777777" w:rsidR="002E095B" w:rsidRPr="002E095B" w:rsidRDefault="002E095B" w:rsidP="002E09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túi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khí</w:t>
      </w:r>
      <w:proofErr w:type="spellEnd"/>
    </w:p>
    <w:p w14:paraId="408BA0FE" w14:textId="77777777" w:rsidR="002E095B" w:rsidRPr="002E095B" w:rsidRDefault="002E095B" w:rsidP="002E09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đường</w:t>
      </w:r>
      <w:proofErr w:type="spellEnd"/>
    </w:p>
    <w:p w14:paraId="47ABFB0D" w14:textId="77777777" w:rsidR="002E095B" w:rsidRPr="002E095B" w:rsidRDefault="002E095B" w:rsidP="002E09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2BCB0634" w14:textId="77777777" w:rsidR="002E095B" w:rsidRPr="002E095B" w:rsidRDefault="002E095B" w:rsidP="002E09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xe</w:t>
      </w:r>
      <w:proofErr w:type="spellEnd"/>
    </w:p>
    <w:p w14:paraId="26B9C29F" w14:textId="77777777" w:rsidR="002E095B" w:rsidRPr="002E095B" w:rsidRDefault="002E095B" w:rsidP="002E09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gầm</w:t>
      </w:r>
      <w:proofErr w:type="spellEnd"/>
    </w:p>
    <w:p w14:paraId="3F6C1D69" w14:textId="77777777" w:rsidR="002E095B" w:rsidRPr="002E095B" w:rsidRDefault="002E095B" w:rsidP="002E09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E095B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bề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mặt</w:t>
      </w:r>
      <w:proofErr w:type="spellEnd"/>
    </w:p>
    <w:p w14:paraId="31B12235" w14:textId="77777777" w:rsidR="002E095B" w:rsidRPr="002E095B" w:rsidRDefault="002E095B" w:rsidP="002E09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vector</w:t>
      </w:r>
    </w:p>
    <w:p w14:paraId="737A15A8" w14:textId="77777777" w:rsidR="002E095B" w:rsidRPr="002E095B" w:rsidRDefault="002E095B" w:rsidP="002E09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xóc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lò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xo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thép</w:t>
      </w:r>
      <w:proofErr w:type="spellEnd"/>
    </w:p>
    <w:p w14:paraId="2D9DB608" w14:textId="77777777" w:rsidR="002E095B" w:rsidRPr="002E095B" w:rsidRDefault="002E095B" w:rsidP="002E09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E095B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kéo</w:t>
      </w:r>
      <w:proofErr w:type="spellEnd"/>
    </w:p>
    <w:p w14:paraId="165D2F3E" w14:textId="77777777" w:rsidR="002E095B" w:rsidRPr="002E095B" w:rsidRDefault="002E095B" w:rsidP="002E09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0FEA2B4D" w14:textId="77777777" w:rsidR="002E095B" w:rsidRPr="002E095B" w:rsidRDefault="002E095B" w:rsidP="002E09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đêm</w:t>
      </w:r>
      <w:proofErr w:type="spellEnd"/>
    </w:p>
    <w:p w14:paraId="258BF148" w14:textId="77777777" w:rsidR="002E095B" w:rsidRPr="002E095B" w:rsidRDefault="002E095B" w:rsidP="002E09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đường</w:t>
      </w:r>
      <w:proofErr w:type="spellEnd"/>
    </w:p>
    <w:p w14:paraId="04B41580" w14:textId="77777777" w:rsidR="002E095B" w:rsidRPr="002E095B" w:rsidRDefault="002E095B" w:rsidP="002E09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đỗ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camera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lùi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radar</w:t>
      </w:r>
    </w:p>
    <w:p w14:paraId="0BA987C6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khủng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lỡ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ga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, Porsche Cayenne 2024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khẩn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E095B">
        <w:rPr>
          <w:rFonts w:ascii="Times New Roman" w:hAnsi="Times New Roman" w:cs="Times New Roman"/>
          <w:sz w:val="26"/>
          <w:szCs w:val="26"/>
        </w:rPr>
        <w:t>.</w:t>
      </w:r>
    </w:p>
    <w:p w14:paraId="01CA7A38" w14:textId="77777777" w:rsidR="002E095B" w:rsidRPr="002E095B" w:rsidRDefault="002E095B" w:rsidP="002E095B">
      <w:pPr>
        <w:jc w:val="both"/>
        <w:rPr>
          <w:rFonts w:ascii="Times New Roman" w:hAnsi="Times New Roman" w:cs="Times New Roman"/>
          <w:sz w:val="26"/>
          <w:szCs w:val="26"/>
        </w:rPr>
      </w:pPr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Thông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2E09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95B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</w:p>
    <w:tbl>
      <w:tblPr>
        <w:tblW w:w="9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9"/>
        <w:gridCol w:w="4766"/>
      </w:tblGrid>
      <w:tr w:rsidR="002E095B" w:rsidRPr="002E095B" w14:paraId="7DF22775" w14:textId="77777777" w:rsidTr="002E095B">
        <w:trPr>
          <w:trHeight w:val="471"/>
        </w:trPr>
        <w:tc>
          <w:tcPr>
            <w:tcW w:w="9715" w:type="dxa"/>
            <w:gridSpan w:val="2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F6E2A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Porsche Cayenne 2024</w:t>
            </w:r>
          </w:p>
        </w:tc>
      </w:tr>
      <w:tr w:rsidR="002E095B" w:rsidRPr="002E095B" w14:paraId="5154B8B8" w14:textId="77777777" w:rsidTr="002E095B">
        <w:trPr>
          <w:trHeight w:val="483"/>
        </w:trPr>
        <w:tc>
          <w:tcPr>
            <w:tcW w:w="494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E0C16B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Xuất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xứ</w:t>
            </w:r>
            <w:proofErr w:type="spellEnd"/>
          </w:p>
        </w:tc>
        <w:tc>
          <w:tcPr>
            <w:tcW w:w="47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900E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</w:p>
        </w:tc>
      </w:tr>
      <w:tr w:rsidR="002E095B" w:rsidRPr="002E095B" w14:paraId="62BCC230" w14:textId="77777777" w:rsidTr="002E095B">
        <w:trPr>
          <w:trHeight w:val="471"/>
        </w:trPr>
        <w:tc>
          <w:tcPr>
            <w:tcW w:w="494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3F4F06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Kiểu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47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C76D67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SUV</w:t>
            </w:r>
          </w:p>
        </w:tc>
      </w:tr>
      <w:tr w:rsidR="002E095B" w:rsidRPr="002E095B" w14:paraId="6571202E" w14:textId="77777777" w:rsidTr="002E095B">
        <w:trPr>
          <w:trHeight w:val="483"/>
        </w:trPr>
        <w:tc>
          <w:tcPr>
            <w:tcW w:w="494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286FF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chỗ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ngồi</w:t>
            </w:r>
            <w:proofErr w:type="spellEnd"/>
          </w:p>
        </w:tc>
        <w:tc>
          <w:tcPr>
            <w:tcW w:w="47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1E37E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</w:tr>
      <w:tr w:rsidR="002E095B" w:rsidRPr="002E095B" w14:paraId="28FFCECA" w14:textId="77777777" w:rsidTr="002E095B">
        <w:trPr>
          <w:trHeight w:val="471"/>
        </w:trPr>
        <w:tc>
          <w:tcPr>
            <w:tcW w:w="494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C6286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thước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DxRxC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(mm)</w:t>
            </w:r>
          </w:p>
        </w:tc>
        <w:tc>
          <w:tcPr>
            <w:tcW w:w="47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C720A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4.918 x 1.983 x 1.696</w:t>
            </w:r>
          </w:p>
        </w:tc>
      </w:tr>
      <w:tr w:rsidR="002E095B" w:rsidRPr="002E095B" w14:paraId="2EA0E395" w14:textId="77777777" w:rsidTr="002E095B">
        <w:trPr>
          <w:trHeight w:val="483"/>
        </w:trPr>
        <w:tc>
          <w:tcPr>
            <w:tcW w:w="494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CD71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Chiều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dài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cơ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sở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(mm)</w:t>
            </w:r>
          </w:p>
        </w:tc>
        <w:tc>
          <w:tcPr>
            <w:tcW w:w="47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4D15F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2.895</w:t>
            </w:r>
          </w:p>
        </w:tc>
      </w:tr>
      <w:tr w:rsidR="002E095B" w:rsidRPr="002E095B" w14:paraId="0EB9C677" w14:textId="77777777" w:rsidTr="002E095B">
        <w:trPr>
          <w:trHeight w:val="471"/>
        </w:trPr>
        <w:tc>
          <w:tcPr>
            <w:tcW w:w="494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479C33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Khối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lượng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không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tải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(kg)</w:t>
            </w:r>
          </w:p>
        </w:tc>
        <w:tc>
          <w:tcPr>
            <w:tcW w:w="47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403EE5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1.985 - 2.175</w:t>
            </w:r>
          </w:p>
        </w:tc>
      </w:tr>
      <w:tr w:rsidR="002E095B" w:rsidRPr="002E095B" w14:paraId="193BF4A4" w14:textId="77777777" w:rsidTr="002E095B">
        <w:trPr>
          <w:trHeight w:val="483"/>
        </w:trPr>
        <w:tc>
          <w:tcPr>
            <w:tcW w:w="494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FF6CAB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Động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cơ</w:t>
            </w:r>
            <w:proofErr w:type="spellEnd"/>
          </w:p>
        </w:tc>
        <w:tc>
          <w:tcPr>
            <w:tcW w:w="47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8A0C1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V6 turbo/ V6 twin-turbo/ V8 twin-turbo</w:t>
            </w:r>
          </w:p>
        </w:tc>
      </w:tr>
      <w:tr w:rsidR="002E095B" w:rsidRPr="002E095B" w14:paraId="0CCF2B01" w14:textId="77777777" w:rsidTr="002E095B">
        <w:trPr>
          <w:trHeight w:val="471"/>
        </w:trPr>
        <w:tc>
          <w:tcPr>
            <w:tcW w:w="494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24FA0B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Công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suất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cực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đại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ps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/rpm)</w:t>
            </w:r>
          </w:p>
        </w:tc>
        <w:tc>
          <w:tcPr>
            <w:tcW w:w="47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92FE5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340 - 550</w:t>
            </w:r>
          </w:p>
        </w:tc>
      </w:tr>
      <w:tr w:rsidR="002E095B" w:rsidRPr="002E095B" w14:paraId="39901E42" w14:textId="77777777" w:rsidTr="002E095B">
        <w:trPr>
          <w:trHeight w:val="483"/>
        </w:trPr>
        <w:tc>
          <w:tcPr>
            <w:tcW w:w="494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B16B6E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Mômen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xoắn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cực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đại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(Nm/rpm)</w:t>
            </w:r>
          </w:p>
        </w:tc>
        <w:tc>
          <w:tcPr>
            <w:tcW w:w="47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318ED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450 - 770</w:t>
            </w:r>
          </w:p>
        </w:tc>
      </w:tr>
      <w:tr w:rsidR="002E095B" w:rsidRPr="002E095B" w14:paraId="76BF561E" w14:textId="77777777" w:rsidTr="002E095B">
        <w:trPr>
          <w:trHeight w:val="471"/>
        </w:trPr>
        <w:tc>
          <w:tcPr>
            <w:tcW w:w="494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59294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Hộp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7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53858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Tiptronic</w:t>
            </w:r>
          </w:p>
        </w:tc>
      </w:tr>
      <w:tr w:rsidR="002E095B" w:rsidRPr="002E095B" w14:paraId="7B75BCC0" w14:textId="77777777" w:rsidTr="002E095B">
        <w:trPr>
          <w:trHeight w:val="483"/>
        </w:trPr>
        <w:tc>
          <w:tcPr>
            <w:tcW w:w="494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7A80C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dẫn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7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6A49C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4 bánh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</w:tr>
      <w:tr w:rsidR="002E095B" w:rsidRPr="002E095B" w14:paraId="15263C0D" w14:textId="77777777" w:rsidTr="002E095B">
        <w:trPr>
          <w:trHeight w:val="471"/>
        </w:trPr>
        <w:tc>
          <w:tcPr>
            <w:tcW w:w="494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D707E9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Tiêu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thụ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nhiên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(l/100 km)</w:t>
            </w:r>
          </w:p>
        </w:tc>
        <w:tc>
          <w:tcPr>
            <w:tcW w:w="47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760B7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11.9 - 11.7</w:t>
            </w:r>
          </w:p>
        </w:tc>
      </w:tr>
      <w:tr w:rsidR="002E095B" w:rsidRPr="002E095B" w14:paraId="37E4E614" w14:textId="77777777" w:rsidTr="002E095B">
        <w:trPr>
          <w:trHeight w:val="483"/>
        </w:trPr>
        <w:tc>
          <w:tcPr>
            <w:tcW w:w="494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DA83F4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Dung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tích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bình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nhiên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lít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47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5218D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</w:tr>
      <w:tr w:rsidR="002E095B" w:rsidRPr="002E095B" w14:paraId="6D17633F" w14:textId="77777777" w:rsidTr="002E095B">
        <w:trPr>
          <w:trHeight w:val="1124"/>
        </w:trPr>
        <w:tc>
          <w:tcPr>
            <w:tcW w:w="494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5B6E85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Lốp</w:t>
            </w:r>
            <w:proofErr w:type="spellEnd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47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ABDBAD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: 255/55 ZR 19 / 275/50 ZR 19 (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 xml:space="preserve"> &amp; </w:t>
            </w:r>
            <w:proofErr w:type="gram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S)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proofErr w:type="gram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: 285/40 ZR 21 / 315/35 ZR 21 (Turbo)</w:t>
            </w:r>
          </w:p>
        </w:tc>
      </w:tr>
      <w:tr w:rsidR="002E095B" w:rsidRPr="002E095B" w14:paraId="679AFC9B" w14:textId="77777777" w:rsidTr="002E095B">
        <w:trPr>
          <w:trHeight w:val="483"/>
        </w:trPr>
        <w:tc>
          <w:tcPr>
            <w:tcW w:w="494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75B34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La-</w:t>
            </w:r>
            <w:proofErr w:type="spellStart"/>
            <w:r w:rsidRPr="002E09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zăng</w:t>
            </w:r>
            <w:proofErr w:type="spellEnd"/>
          </w:p>
        </w:tc>
        <w:tc>
          <w:tcPr>
            <w:tcW w:w="476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82A25A" w14:textId="77777777" w:rsidR="002E095B" w:rsidRPr="002E095B" w:rsidRDefault="002E095B" w:rsidP="002E09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095B">
              <w:rPr>
                <w:rFonts w:ascii="Times New Roman" w:hAnsi="Times New Roman" w:cs="Times New Roman"/>
                <w:sz w:val="26"/>
                <w:szCs w:val="26"/>
              </w:rPr>
              <w:t>19 - 21 inch</w:t>
            </w:r>
          </w:p>
        </w:tc>
      </w:tr>
    </w:tbl>
    <w:p w14:paraId="2BB5FAC4" w14:textId="77777777" w:rsidR="00633A71" w:rsidRPr="002E095B" w:rsidRDefault="00633A71" w:rsidP="002E095B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633A71" w:rsidRPr="002E0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B651F"/>
    <w:multiLevelType w:val="multilevel"/>
    <w:tmpl w:val="3912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473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5B"/>
    <w:rsid w:val="001F20E5"/>
    <w:rsid w:val="002E095B"/>
    <w:rsid w:val="005F144D"/>
    <w:rsid w:val="0063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9E52"/>
  <w15:chartTrackingRefBased/>
  <w15:docId w15:val="{CDB6EBE0-54FD-4283-8BAC-567C9DB9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9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9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9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9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9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9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9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9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9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9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0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0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6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445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  <w:div w:id="18042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3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004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  <w:div w:id="3666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nhgiaxe.com/porsche" TargetMode="External"/><Relationship Id="rId5" Type="http://schemas.openxmlformats.org/officeDocument/2006/relationships/hyperlink" Target="https://www.danhgiaxe.com/porsche-cayen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1631</Words>
  <Characters>9302</Characters>
  <Application>Microsoft Office Word</Application>
  <DocSecurity>0</DocSecurity>
  <Lines>77</Lines>
  <Paragraphs>21</Paragraphs>
  <ScaleCrop>false</ScaleCrop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Anh</dc:creator>
  <cp:keywords/>
  <dc:description/>
  <cp:lastModifiedBy>The Anh</cp:lastModifiedBy>
  <cp:revision>1</cp:revision>
  <dcterms:created xsi:type="dcterms:W3CDTF">2025-03-31T00:17:00Z</dcterms:created>
  <dcterms:modified xsi:type="dcterms:W3CDTF">2025-03-31T00:19:00Z</dcterms:modified>
</cp:coreProperties>
</file>