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5340" w14:textId="568BC500"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How to Buy Property in Dubai as a Foreigner (Step-by-Step Guide)</w:t>
      </w:r>
    </w:p>
    <w:p w14:paraId="5172924A" w14:textId="7C945B4F"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It Usually Starts With a Simple Question</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i/>
          <w:iCs/>
          <w:kern w:val="0"/>
          <w14:ligatures w14:val="none"/>
        </w:rPr>
        <w:t>“I’m not from the UAE… can I even own property there?”</w:t>
      </w:r>
    </w:p>
    <w:p w14:paraId="75DD8C86" w14:textId="626D4954"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The answer is: yes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but in specific freehold areas that are legally designated for foreign ownership, where you don’t just lease the property for 30 or 50 years, but instead own it outright, fully, indefinitely, with the legal right to sell it, rent it, transfer it, or pass it on.</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That alone surprises a lot of people.</w:t>
      </w:r>
    </w:p>
    <w:p w14:paraId="4F64F05B"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Dubai Marina.</w:t>
      </w:r>
      <w:r w:rsidRPr="00D345EA">
        <w:rPr>
          <w:rFonts w:ascii="Times New Roman" w:eastAsia="Times New Roman" w:hAnsi="Times New Roman" w:cs="Times New Roman"/>
          <w:kern w:val="0"/>
          <w14:ligatures w14:val="none"/>
        </w:rPr>
        <w:br/>
        <w:t>Downtown.</w:t>
      </w:r>
      <w:r w:rsidRPr="00D345EA">
        <w:rPr>
          <w:rFonts w:ascii="Times New Roman" w:eastAsia="Times New Roman" w:hAnsi="Times New Roman" w:cs="Times New Roman"/>
          <w:kern w:val="0"/>
          <w14:ligatures w14:val="none"/>
        </w:rPr>
        <w:br/>
        <w:t>Palm Jumeirah.</w:t>
      </w:r>
      <w:r w:rsidRPr="00D345EA">
        <w:rPr>
          <w:rFonts w:ascii="Times New Roman" w:eastAsia="Times New Roman" w:hAnsi="Times New Roman" w:cs="Times New Roman"/>
          <w:kern w:val="0"/>
          <w14:ligatures w14:val="none"/>
        </w:rPr>
        <w:br/>
        <w:t>Business Bay.</w:t>
      </w:r>
      <w:r w:rsidRPr="00D345EA">
        <w:rPr>
          <w:rFonts w:ascii="Times New Roman" w:eastAsia="Times New Roman" w:hAnsi="Times New Roman" w:cs="Times New Roman"/>
          <w:kern w:val="0"/>
          <w14:ligatures w14:val="none"/>
        </w:rPr>
        <w:br/>
        <w:t>Dubai Hills.</w:t>
      </w:r>
      <w:r w:rsidRPr="00D345EA">
        <w:rPr>
          <w:rFonts w:ascii="Times New Roman" w:eastAsia="Times New Roman" w:hAnsi="Times New Roman" w:cs="Times New Roman"/>
          <w:kern w:val="0"/>
          <w14:ligatures w14:val="none"/>
        </w:rPr>
        <w:br/>
        <w:t>Arabian Ranches.</w:t>
      </w:r>
      <w:r w:rsidRPr="00D345EA">
        <w:rPr>
          <w:rFonts w:ascii="Times New Roman" w:eastAsia="Times New Roman" w:hAnsi="Times New Roman" w:cs="Times New Roman"/>
          <w:kern w:val="0"/>
          <w14:ligatures w14:val="none"/>
        </w:rPr>
        <w:br/>
        <w:t>JVC.</w:t>
      </w:r>
    </w:p>
    <w:p w14:paraId="6E65C0AD" w14:textId="57C892F4"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Each one feels like a different market entirely</w:t>
      </w:r>
      <w:r>
        <w:rPr>
          <w:rFonts w:ascii="Times New Roman" w:eastAsia="Times New Roman" w:hAnsi="Times New Roman" w:cs="Times New Roman"/>
          <w:kern w:val="0"/>
          <w14:ligatures w14:val="none"/>
        </w:rPr>
        <w:t>. D</w:t>
      </w:r>
      <w:r w:rsidRPr="00D345EA">
        <w:rPr>
          <w:rFonts w:ascii="Times New Roman" w:eastAsia="Times New Roman" w:hAnsi="Times New Roman" w:cs="Times New Roman"/>
          <w:kern w:val="0"/>
          <w14:ligatures w14:val="none"/>
        </w:rPr>
        <w:t>ifferent price brackets, different tenant profiles, different growth trajectories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and this is where many foreign buyers make their first mistake: choosing a project before choosing the right area.</w:t>
      </w:r>
    </w:p>
    <w:p w14:paraId="509DA315"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In Dubai, the area often determines 70% of the performance.</w:t>
      </w:r>
    </w:p>
    <w:p w14:paraId="4A864E98"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30FAD6CC">
          <v:rect id="_x0000_i1034" alt="" style="width:468pt;height:.05pt;mso-width-percent:0;mso-height-percent:0;mso-width-percent:0;mso-height-percent:0" o:hralign="center" o:hrstd="t" o:hr="t" fillcolor="#a0a0a0" stroked="f"/>
        </w:pict>
      </w:r>
    </w:p>
    <w:p w14:paraId="1D8201A0"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Then Comes the First Real Decision</w:t>
      </w:r>
    </w:p>
    <w:p w14:paraId="503EED3C" w14:textId="18245C1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Before paperwork.</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Before negotiations.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Before numbers.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You decide:</w:t>
      </w:r>
    </w:p>
    <w:p w14:paraId="2D7C8549" w14:textId="77777777" w:rsidR="00D345EA" w:rsidRDefault="00D345EA" w:rsidP="00D345E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Do I want something that exists now?</w:t>
      </w:r>
    </w:p>
    <w:p w14:paraId="191FF37C" w14:textId="7EA22543" w:rsidR="00D345EA" w:rsidRPr="00D345EA" w:rsidRDefault="00D345EA" w:rsidP="00D345E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Or something that will exist in the future?</w:t>
      </w:r>
    </w:p>
    <w:p w14:paraId="79CCA9F8"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And that single decision changes the entire structure of your purchase.</w:t>
      </w:r>
    </w:p>
    <w:p w14:paraId="3BA18BB3" w14:textId="20D3A4EA"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If you buy ready property, you are buying something tangible</w:t>
      </w:r>
      <w:r>
        <w:rPr>
          <w:rFonts w:ascii="Times New Roman" w:eastAsia="Times New Roman" w:hAnsi="Times New Roman" w:cs="Times New Roman"/>
          <w:kern w:val="0"/>
          <w14:ligatures w14:val="none"/>
        </w:rPr>
        <w:t>. Y</w:t>
      </w:r>
      <w:r w:rsidRPr="00D345EA">
        <w:rPr>
          <w:rFonts w:ascii="Times New Roman" w:eastAsia="Times New Roman" w:hAnsi="Times New Roman" w:cs="Times New Roman"/>
          <w:kern w:val="0"/>
          <w14:ligatures w14:val="none"/>
        </w:rPr>
        <w:t>ou walk into it, stand in the living room, look at the view, check the finishing, evaluate the building, study rental comparables, and make a decision based on what already exists.</w:t>
      </w:r>
    </w:p>
    <w:p w14:paraId="3F792E90" w14:textId="3DDF5B24"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If you buy off-plan, however, you are buying into a future promise</w:t>
      </w:r>
      <w:r>
        <w:rPr>
          <w:rFonts w:ascii="Times New Roman" w:eastAsia="Times New Roman" w:hAnsi="Times New Roman" w:cs="Times New Roman"/>
          <w:kern w:val="0"/>
          <w14:ligatures w14:val="none"/>
        </w:rPr>
        <w:t>. A</w:t>
      </w:r>
      <w:r w:rsidRPr="00D345EA">
        <w:rPr>
          <w:rFonts w:ascii="Times New Roman" w:eastAsia="Times New Roman" w:hAnsi="Times New Roman" w:cs="Times New Roman"/>
          <w:kern w:val="0"/>
          <w14:ligatures w14:val="none"/>
        </w:rPr>
        <w:t>rchitectural renderings, projected community growth, infrastructure expansion plans, payment schedules that stretch over years, and potential appreciation that unfolds during construction.</w:t>
      </w:r>
    </w:p>
    <w:p w14:paraId="33E3C83E" w14:textId="5712C88A"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lastRenderedPageBreak/>
        <w:t>One is immediate.</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One is anticipatory.</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Neither is inherently better</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but they behave very differently financially.</w:t>
      </w:r>
    </w:p>
    <w:p w14:paraId="4485CE3C"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6E056874">
          <v:rect id="_x0000_i1033" alt="" style="width:468pt;height:.05pt;mso-width-percent:0;mso-height-percent:0;mso-width-percent:0;mso-height-percent:0" o:hralign="center" o:hrstd="t" o:hr="t" fillcolor="#a0a0a0" stroked="f"/>
        </w:pict>
      </w:r>
    </w:p>
    <w:p w14:paraId="5C45BA39" w14:textId="06A42DCE"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 xml:space="preserve">Now Let’s Talk About Money </w:t>
      </w:r>
    </w:p>
    <w:p w14:paraId="7A060228"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Foreign buyers often focus entirely on the property price and then get surprised by transaction costs.</w:t>
      </w:r>
    </w:p>
    <w:p w14:paraId="538DB67C"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In Dubai, you must factor in:</w:t>
      </w:r>
    </w:p>
    <w:p w14:paraId="7E9E99EC"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 4% Dubai Land Department transfer fee</w:t>
      </w:r>
      <w:r w:rsidRPr="00D345EA">
        <w:rPr>
          <w:rFonts w:ascii="Times New Roman" w:eastAsia="Times New Roman" w:hAnsi="Times New Roman" w:cs="Times New Roman"/>
          <w:kern w:val="0"/>
          <w14:ligatures w14:val="none"/>
        </w:rPr>
        <w:br/>
        <w:t>• Approximately 2% agency commission (if buying via broker)</w:t>
      </w:r>
      <w:r w:rsidRPr="00D345EA">
        <w:rPr>
          <w:rFonts w:ascii="Times New Roman" w:eastAsia="Times New Roman" w:hAnsi="Times New Roman" w:cs="Times New Roman"/>
          <w:kern w:val="0"/>
          <w14:ligatures w14:val="none"/>
        </w:rPr>
        <w:br/>
        <w:t>• Trustee office registration fees</w:t>
      </w:r>
      <w:r w:rsidRPr="00D345EA">
        <w:rPr>
          <w:rFonts w:ascii="Times New Roman" w:eastAsia="Times New Roman" w:hAnsi="Times New Roman" w:cs="Times New Roman"/>
          <w:kern w:val="0"/>
          <w14:ligatures w14:val="none"/>
        </w:rPr>
        <w:br/>
        <w:t>• Mortgage processing fees (if financing)</w:t>
      </w:r>
    </w:p>
    <w:p w14:paraId="2583DBA3"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Altogether, you’re typically looking at around 6–7% on top of the purchase price.</w:t>
      </w:r>
    </w:p>
    <w:p w14:paraId="2E4ED751" w14:textId="6DF60D8C"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So if you’re buying at AED 2,000,000, you realistically need an additional AED 120,000–140,000 available for closing costs.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Planning this properly prevents last-minute stress.</w:t>
      </w:r>
    </w:p>
    <w:p w14:paraId="21A70B3B"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33173CB1">
          <v:rect id="_x0000_i1032" alt="" style="width:468pt;height:.05pt;mso-width-percent:0;mso-height-percent:0;mso-width-percent:0;mso-height-percent:0" o:hralign="center" o:hrstd="t" o:hr="t" fillcolor="#a0a0a0" stroked="f"/>
        </w:pict>
      </w:r>
    </w:p>
    <w:p w14:paraId="206690E1"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Securing the Property</w:t>
      </w:r>
    </w:p>
    <w:p w14:paraId="7B9351A5" w14:textId="36CF57F1"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 xml:space="preserve">Once you’ve selected the unit </w:t>
      </w:r>
      <w:r>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and this is where speed sometimes matters in competitive projects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you sign documentation.</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For ready property, that’s usually a Memorandum of Understanding (MOU), which outlines the agreed terms between buyer and seller.</w:t>
      </w:r>
    </w:p>
    <w:p w14:paraId="5DB01802"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For off-plan, it’s a Sales Purchase Agreement (SPA) directly with the developer, detailing payment milestones, completion timelines, and contractual rights.</w:t>
      </w:r>
    </w:p>
    <w:p w14:paraId="4795E250"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Then you pay a booking deposit.</w:t>
      </w:r>
    </w:p>
    <w:p w14:paraId="5C17EBE1"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Typically:</w:t>
      </w:r>
      <w:r w:rsidRPr="00D345EA">
        <w:rPr>
          <w:rFonts w:ascii="Times New Roman" w:eastAsia="Times New Roman" w:hAnsi="Times New Roman" w:cs="Times New Roman"/>
          <w:kern w:val="0"/>
          <w14:ligatures w14:val="none"/>
        </w:rPr>
        <w:br/>
        <w:t>• 10% for ready</w:t>
      </w:r>
      <w:r w:rsidRPr="00D345EA">
        <w:rPr>
          <w:rFonts w:ascii="Times New Roman" w:eastAsia="Times New Roman" w:hAnsi="Times New Roman" w:cs="Times New Roman"/>
          <w:kern w:val="0"/>
          <w14:ligatures w14:val="none"/>
        </w:rPr>
        <w:br/>
        <w:t>• 10–20% for off-plan</w:t>
      </w:r>
    </w:p>
    <w:p w14:paraId="1CC10842"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And at that moment, the unit is secured.</w:t>
      </w:r>
    </w:p>
    <w:p w14:paraId="34668692"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43D0FD1C">
          <v:rect id="_x0000_i1031" alt="" style="width:468pt;height:.05pt;mso-width-percent:0;mso-height-percent:0;mso-width-percent:0;mso-height-percent:0" o:hralign="center" o:hrstd="t" o:hr="t" fillcolor="#a0a0a0" stroked="f"/>
        </w:pict>
      </w:r>
    </w:p>
    <w:p w14:paraId="5C456A86" w14:textId="24527FEA"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Due Diligence</w:t>
      </w:r>
      <w:r>
        <w:rPr>
          <w:rFonts w:ascii="Times New Roman" w:eastAsia="Times New Roman" w:hAnsi="Times New Roman" w:cs="Times New Roman"/>
          <w:b/>
          <w:bCs/>
          <w:kern w:val="0"/>
          <w:sz w:val="36"/>
          <w:szCs w:val="36"/>
          <w14:ligatures w14:val="none"/>
        </w:rPr>
        <w:t xml:space="preserve">. </w:t>
      </w:r>
      <w:r w:rsidRPr="00D345EA">
        <w:rPr>
          <w:rFonts w:ascii="Times New Roman" w:eastAsia="Times New Roman" w:hAnsi="Times New Roman" w:cs="Times New Roman"/>
          <w:b/>
          <w:bCs/>
          <w:kern w:val="0"/>
          <w:sz w:val="36"/>
          <w:szCs w:val="36"/>
          <w14:ligatures w14:val="none"/>
        </w:rPr>
        <w:t>The Quiet but Critical Step</w:t>
      </w:r>
    </w:p>
    <w:p w14:paraId="6E148E90"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lastRenderedPageBreak/>
        <w:t>This is where sophisticated buyers slow down.</w:t>
      </w:r>
    </w:p>
    <w:p w14:paraId="25AE1C21"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If it’s a ready property, you verify:</w:t>
      </w:r>
      <w:r w:rsidRPr="00D345EA">
        <w:rPr>
          <w:rFonts w:ascii="Times New Roman" w:eastAsia="Times New Roman" w:hAnsi="Times New Roman" w:cs="Times New Roman"/>
          <w:kern w:val="0"/>
          <w14:ligatures w14:val="none"/>
        </w:rPr>
        <w:br/>
        <w:t>• The title deed</w:t>
      </w:r>
      <w:r w:rsidRPr="00D345EA">
        <w:rPr>
          <w:rFonts w:ascii="Times New Roman" w:eastAsia="Times New Roman" w:hAnsi="Times New Roman" w:cs="Times New Roman"/>
          <w:kern w:val="0"/>
          <w14:ligatures w14:val="none"/>
        </w:rPr>
        <w:br/>
        <w:t>• No outstanding service charges</w:t>
      </w:r>
      <w:r w:rsidRPr="00D345EA">
        <w:rPr>
          <w:rFonts w:ascii="Times New Roman" w:eastAsia="Times New Roman" w:hAnsi="Times New Roman" w:cs="Times New Roman"/>
          <w:kern w:val="0"/>
          <w14:ligatures w14:val="none"/>
        </w:rPr>
        <w:br/>
        <w:t>• No legal disputes</w:t>
      </w:r>
      <w:r w:rsidRPr="00D345EA">
        <w:rPr>
          <w:rFonts w:ascii="Times New Roman" w:eastAsia="Times New Roman" w:hAnsi="Times New Roman" w:cs="Times New Roman"/>
          <w:kern w:val="0"/>
          <w14:ligatures w14:val="none"/>
        </w:rPr>
        <w:br/>
        <w:t>• Condition of the unit</w:t>
      </w:r>
    </w:p>
    <w:p w14:paraId="2379F488"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If it’s off-plan, you verify:</w:t>
      </w:r>
      <w:r w:rsidRPr="00D345EA">
        <w:rPr>
          <w:rFonts w:ascii="Times New Roman" w:eastAsia="Times New Roman" w:hAnsi="Times New Roman" w:cs="Times New Roman"/>
          <w:kern w:val="0"/>
          <w14:ligatures w14:val="none"/>
        </w:rPr>
        <w:br/>
        <w:t>• Developer registration</w:t>
      </w:r>
      <w:r w:rsidRPr="00D345EA">
        <w:rPr>
          <w:rFonts w:ascii="Times New Roman" w:eastAsia="Times New Roman" w:hAnsi="Times New Roman" w:cs="Times New Roman"/>
          <w:kern w:val="0"/>
          <w14:ligatures w14:val="none"/>
        </w:rPr>
        <w:br/>
        <w:t>• Escrow account approval</w:t>
      </w:r>
      <w:r w:rsidRPr="00D345EA">
        <w:rPr>
          <w:rFonts w:ascii="Times New Roman" w:eastAsia="Times New Roman" w:hAnsi="Times New Roman" w:cs="Times New Roman"/>
          <w:kern w:val="0"/>
          <w14:ligatures w14:val="none"/>
        </w:rPr>
        <w:br/>
        <w:t>• Project registration with RERA</w:t>
      </w:r>
      <w:r w:rsidRPr="00D345EA">
        <w:rPr>
          <w:rFonts w:ascii="Times New Roman" w:eastAsia="Times New Roman" w:hAnsi="Times New Roman" w:cs="Times New Roman"/>
          <w:kern w:val="0"/>
          <w14:ligatures w14:val="none"/>
        </w:rPr>
        <w:br/>
        <w:t>• Payment structure and penalties</w:t>
      </w:r>
    </w:p>
    <w:p w14:paraId="18A6D761" w14:textId="027D57D1"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 xml:space="preserve">Dubai’s regulatory framework </w:t>
      </w:r>
      <w:r>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managed by the Dubai Land Department (DLD) and RERA</w:t>
      </w:r>
      <w:r>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 xml:space="preserve"> is centrali</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ed and structured, which significantly reduces ambiguity compared to many international markets, but intelligent review is still essential.</w:t>
      </w:r>
    </w:p>
    <w:p w14:paraId="53A17323"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1496B69A">
          <v:rect id="_x0000_i1030" alt="" style="width:468pt;height:.05pt;mso-width-percent:0;mso-height-percent:0;mso-width-percent:0;mso-height-percent:0" o:hralign="center" o:hrstd="t" o:hr="t" fillcolor="#a0a0a0" stroked="f"/>
        </w:pict>
      </w:r>
    </w:p>
    <w:p w14:paraId="73CAE9D1"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The Transfer Itself</w:t>
      </w:r>
    </w:p>
    <w:p w14:paraId="4A78EA8A" w14:textId="0F69F6A5"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For ready property, once funds are prepared, both parties meet at a government-authorized trustee office, payments are finali</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ed, and the title deed is transferred into your name</w:t>
      </w:r>
      <w:r>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ometimes within weeks of the initial agreement.</w:t>
      </w:r>
    </w:p>
    <w:p w14:paraId="1BCA9477" w14:textId="10C116A2"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 xml:space="preserve">For off-plan purchases, you receive what’s called an Oqood </w:t>
      </w:r>
      <w:r>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an initial registration certificate</w:t>
      </w:r>
      <w:r>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 xml:space="preserve"> and the official title deed is issued upon completion.</w:t>
      </w:r>
    </w:p>
    <w:p w14:paraId="4C009F12" w14:textId="6EAC21CF"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The process is procedural, organi</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ed, and relatively efficient.</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Compared to many global cities, it’s fast.</w:t>
      </w:r>
    </w:p>
    <w:p w14:paraId="4EE351DA"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68122BE6">
          <v:rect id="_x0000_i1029" alt="" style="width:468pt;height:.05pt;mso-width-percent:0;mso-height-percent:0;mso-width-percent:0;mso-height-percent:0" o:hralign="center" o:hrstd="t" o:hr="t" fillcolor="#a0a0a0" stroked="f"/>
        </w:pict>
      </w:r>
    </w:p>
    <w:p w14:paraId="01C7E9A6" w14:textId="5C9A002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 xml:space="preserve">The Visa Question </w:t>
      </w:r>
    </w:p>
    <w:p w14:paraId="5C6AE730" w14:textId="2021F1E6"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One of the unique advantages of Dubai is that property ownership can support residency eligibility.</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Depending on the property value and structure, buyers may qualify for:</w:t>
      </w:r>
    </w:p>
    <w:p w14:paraId="0C33FE13"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 A 2-year renewable investor visa</w:t>
      </w:r>
      <w:r w:rsidRPr="00D345EA">
        <w:rPr>
          <w:rFonts w:ascii="Times New Roman" w:eastAsia="Times New Roman" w:hAnsi="Times New Roman" w:cs="Times New Roman"/>
          <w:kern w:val="0"/>
          <w14:ligatures w14:val="none"/>
        </w:rPr>
        <w:br/>
        <w:t>• A 10-year Golden Visa (if thresholds are met)</w:t>
      </w:r>
    </w:p>
    <w:p w14:paraId="41A6C604"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This depends on:</w:t>
      </w:r>
      <w:r w:rsidRPr="00D345EA">
        <w:rPr>
          <w:rFonts w:ascii="Times New Roman" w:eastAsia="Times New Roman" w:hAnsi="Times New Roman" w:cs="Times New Roman"/>
          <w:kern w:val="0"/>
          <w14:ligatures w14:val="none"/>
        </w:rPr>
        <w:br/>
        <w:t>• Total property value</w:t>
      </w:r>
      <w:r w:rsidRPr="00D345EA">
        <w:rPr>
          <w:rFonts w:ascii="Times New Roman" w:eastAsia="Times New Roman" w:hAnsi="Times New Roman" w:cs="Times New Roman"/>
          <w:kern w:val="0"/>
          <w14:ligatures w14:val="none"/>
        </w:rPr>
        <w:br/>
      </w:r>
      <w:r w:rsidRPr="00D345EA">
        <w:rPr>
          <w:rFonts w:ascii="Times New Roman" w:eastAsia="Times New Roman" w:hAnsi="Times New Roman" w:cs="Times New Roman"/>
          <w:kern w:val="0"/>
          <w14:ligatures w14:val="none"/>
        </w:rPr>
        <w:lastRenderedPageBreak/>
        <w:t>• Mortgage status</w:t>
      </w:r>
      <w:r w:rsidRPr="00D345EA">
        <w:rPr>
          <w:rFonts w:ascii="Times New Roman" w:eastAsia="Times New Roman" w:hAnsi="Times New Roman" w:cs="Times New Roman"/>
          <w:kern w:val="0"/>
          <w14:ligatures w14:val="none"/>
        </w:rPr>
        <w:br/>
        <w:t>• Percentage paid</w:t>
      </w:r>
    </w:p>
    <w:p w14:paraId="36075A40"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While property purchase does not automatically guarantee residency in every scenario, it can support long-term relocation plans significantly.</w:t>
      </w:r>
    </w:p>
    <w:p w14:paraId="531E1813"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70B47254">
          <v:rect id="_x0000_i1028" alt="" style="width:468pt;height:.05pt;mso-width-percent:0;mso-height-percent:0;mso-width-percent:0;mso-height-percent:0" o:hralign="center" o:hrstd="t" o:hr="t" fillcolor="#a0a0a0" stroked="f"/>
        </w:pict>
      </w:r>
    </w:p>
    <w:p w14:paraId="448E6E0A"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What Happens After You Buy?</w:t>
      </w:r>
    </w:p>
    <w:p w14:paraId="27204702"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If you’re an investor, the next layer is strategy.</w:t>
      </w:r>
    </w:p>
    <w:p w14:paraId="1C50D53F"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can:</w:t>
      </w:r>
      <w:r w:rsidRPr="00D345EA">
        <w:rPr>
          <w:rFonts w:ascii="Times New Roman" w:eastAsia="Times New Roman" w:hAnsi="Times New Roman" w:cs="Times New Roman"/>
          <w:kern w:val="0"/>
          <w14:ligatures w14:val="none"/>
        </w:rPr>
        <w:br/>
        <w:t>• Lease long-term on annual contracts</w:t>
      </w:r>
      <w:r w:rsidRPr="00D345EA">
        <w:rPr>
          <w:rFonts w:ascii="Times New Roman" w:eastAsia="Times New Roman" w:hAnsi="Times New Roman" w:cs="Times New Roman"/>
          <w:kern w:val="0"/>
          <w14:ligatures w14:val="none"/>
        </w:rPr>
        <w:br/>
        <w:t>• Operate short-term rentals (subject to licensing)</w:t>
      </w:r>
      <w:r w:rsidRPr="00D345EA">
        <w:rPr>
          <w:rFonts w:ascii="Times New Roman" w:eastAsia="Times New Roman" w:hAnsi="Times New Roman" w:cs="Times New Roman"/>
          <w:kern w:val="0"/>
          <w14:ligatures w14:val="none"/>
        </w:rPr>
        <w:br/>
        <w:t>• Hire property management firms</w:t>
      </w:r>
    </w:p>
    <w:p w14:paraId="64118A3B"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Dubai’s rental demand is supported by population growth, business relocation, and tourism, which is why yields remain globally competitive.</w:t>
      </w:r>
    </w:p>
    <w:p w14:paraId="284FCECA" w14:textId="12069882"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But again</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area determines everything.</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A high-demand building with limited supply behaves very differently from a saturated tower.</w:t>
      </w:r>
    </w:p>
    <w:p w14:paraId="18BCDB99"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63D31D04">
          <v:rect id="_x0000_i1027" alt="" style="width:468pt;height:.05pt;mso-width-percent:0;mso-height-percent:0;mso-width-percent:0;mso-height-percent:0" o:hralign="center" o:hrstd="t" o:hr="t" fillcolor="#a0a0a0" stroked="f"/>
        </w:pict>
      </w:r>
    </w:p>
    <w:p w14:paraId="2041499C"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Can Foreigners Get Mortgages?</w:t>
      </w:r>
    </w:p>
    <w:p w14:paraId="03B1B506"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Yes.</w:t>
      </w:r>
    </w:p>
    <w:p w14:paraId="537A685E"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Even non-residents can apply for financing, although banks typically require:</w:t>
      </w:r>
      <w:r w:rsidRPr="00D345EA">
        <w:rPr>
          <w:rFonts w:ascii="Times New Roman" w:eastAsia="Times New Roman" w:hAnsi="Times New Roman" w:cs="Times New Roman"/>
          <w:kern w:val="0"/>
          <w14:ligatures w14:val="none"/>
        </w:rPr>
        <w:br/>
        <w:t>• 20–25% down payment</w:t>
      </w:r>
      <w:r w:rsidRPr="00D345EA">
        <w:rPr>
          <w:rFonts w:ascii="Times New Roman" w:eastAsia="Times New Roman" w:hAnsi="Times New Roman" w:cs="Times New Roman"/>
          <w:kern w:val="0"/>
          <w14:ligatures w14:val="none"/>
        </w:rPr>
        <w:br/>
        <w:t>• Income verification</w:t>
      </w:r>
      <w:r w:rsidRPr="00D345EA">
        <w:rPr>
          <w:rFonts w:ascii="Times New Roman" w:eastAsia="Times New Roman" w:hAnsi="Times New Roman" w:cs="Times New Roman"/>
          <w:kern w:val="0"/>
          <w14:ligatures w14:val="none"/>
        </w:rPr>
        <w:br/>
        <w:t>• Clean credit background</w:t>
      </w:r>
    </w:p>
    <w:p w14:paraId="1A02B90A"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Pre-approval is strongly recommended before committing to a purchase, especially in competitive markets.</w:t>
      </w:r>
    </w:p>
    <w:p w14:paraId="758174C5"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755E3A85">
          <v:rect id="_x0000_i1026" alt="" style="width:468pt;height:.05pt;mso-width-percent:0;mso-height-percent:0;mso-width-percent:0;mso-height-percent:0" o:hralign="center" o:hrstd="t" o:hr="t" fillcolor="#a0a0a0" stroked="f"/>
        </w:pict>
      </w:r>
    </w:p>
    <w:p w14:paraId="026995FE"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Is It Actually Safe?</w:t>
      </w:r>
    </w:p>
    <w:p w14:paraId="0781F64B" w14:textId="1597C95F"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Dubai operates under a centrali</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ed land department system.</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Off-plan projects require escrow accounts.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Brokers are regulated.</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Ownership documentation is standardi</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ed.</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The legal structure is transparent and digiti</w:t>
      </w:r>
      <w:r>
        <w:rPr>
          <w:rFonts w:ascii="Times New Roman" w:eastAsia="Times New Roman" w:hAnsi="Times New Roman" w:cs="Times New Roman"/>
          <w:kern w:val="0"/>
          <w14:ligatures w14:val="none"/>
        </w:rPr>
        <w:t>s</w:t>
      </w:r>
      <w:r w:rsidRPr="00D345EA">
        <w:rPr>
          <w:rFonts w:ascii="Times New Roman" w:eastAsia="Times New Roman" w:hAnsi="Times New Roman" w:cs="Times New Roman"/>
          <w:kern w:val="0"/>
          <w14:ligatures w14:val="none"/>
        </w:rPr>
        <w:t>ed.</w:t>
      </w:r>
    </w:p>
    <w:p w14:paraId="5FE6DA9D" w14:textId="344831AD"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lastRenderedPageBreak/>
        <w:t>That doesn’t eliminate risk entirely</w:t>
      </w:r>
      <w:r>
        <w:rPr>
          <w:rFonts w:ascii="Times New Roman" w:eastAsia="Times New Roman" w:hAnsi="Times New Roman" w:cs="Times New Roman"/>
          <w:kern w:val="0"/>
          <w14:ligatures w14:val="none"/>
        </w:rPr>
        <w:t xml:space="preserve">. But </w:t>
      </w:r>
      <w:r w:rsidRPr="00D345EA">
        <w:rPr>
          <w:rFonts w:ascii="Times New Roman" w:eastAsia="Times New Roman" w:hAnsi="Times New Roman" w:cs="Times New Roman"/>
          <w:kern w:val="0"/>
          <w14:ligatures w14:val="none"/>
        </w:rPr>
        <w:t>no market does</w:t>
      </w:r>
      <w:r>
        <w:rPr>
          <w:rFonts w:ascii="Times New Roman" w:eastAsia="Times New Roman" w:hAnsi="Times New Roman" w:cs="Times New Roman"/>
          <w:kern w:val="0"/>
          <w14:ligatures w14:val="none"/>
        </w:rPr>
        <w:t>. However,</w:t>
      </w:r>
      <w:r w:rsidRPr="00D345EA">
        <w:rPr>
          <w:rFonts w:ascii="Times New Roman" w:eastAsia="Times New Roman" w:hAnsi="Times New Roman" w:cs="Times New Roman"/>
          <w:kern w:val="0"/>
          <w14:ligatures w14:val="none"/>
        </w:rPr>
        <w:t xml:space="preserve"> it does reduce procedural uncertainty significantly.</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The real risk in Dubai isn’t legal complexity.</w:t>
      </w:r>
    </w:p>
    <w:p w14:paraId="365DA0E3"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It’s strategic misjudgment:</w:t>
      </w:r>
      <w:r w:rsidRPr="00D345EA">
        <w:rPr>
          <w:rFonts w:ascii="Times New Roman" w:eastAsia="Times New Roman" w:hAnsi="Times New Roman" w:cs="Times New Roman"/>
          <w:kern w:val="0"/>
          <w14:ligatures w14:val="none"/>
        </w:rPr>
        <w:br/>
        <w:t>• Buying in the wrong micro-location</w:t>
      </w:r>
      <w:r w:rsidRPr="00D345EA">
        <w:rPr>
          <w:rFonts w:ascii="Times New Roman" w:eastAsia="Times New Roman" w:hAnsi="Times New Roman" w:cs="Times New Roman"/>
          <w:kern w:val="0"/>
          <w14:ligatures w14:val="none"/>
        </w:rPr>
        <w:br/>
        <w:t>• Overpaying during peak launch hype</w:t>
      </w:r>
      <w:r w:rsidRPr="00D345EA">
        <w:rPr>
          <w:rFonts w:ascii="Times New Roman" w:eastAsia="Times New Roman" w:hAnsi="Times New Roman" w:cs="Times New Roman"/>
          <w:kern w:val="0"/>
          <w14:ligatures w14:val="none"/>
        </w:rPr>
        <w:br/>
        <w:t>• Ignoring future supply</w:t>
      </w:r>
    </w:p>
    <w:p w14:paraId="40F1F4DD" w14:textId="77777777" w:rsidR="00D345EA" w:rsidRPr="00D345EA" w:rsidRDefault="00511117" w:rsidP="00D345EA">
      <w:pPr>
        <w:spacing w:after="0" w:line="240" w:lineRule="auto"/>
        <w:rPr>
          <w:rFonts w:ascii="Times New Roman" w:eastAsia="Times New Roman" w:hAnsi="Times New Roman" w:cs="Times New Roman"/>
          <w:kern w:val="0"/>
          <w14:ligatures w14:val="none"/>
        </w:rPr>
      </w:pPr>
      <w:r w:rsidRPr="00511117">
        <w:rPr>
          <w:rFonts w:ascii="Times New Roman" w:eastAsia="Times New Roman" w:hAnsi="Times New Roman" w:cs="Times New Roman"/>
          <w:noProof/>
          <w:kern w:val="0"/>
        </w:rPr>
        <w:pict w14:anchorId="603432DB">
          <v:rect id="_x0000_i1025" alt="" style="width:468pt;height:.05pt;mso-width-percent:0;mso-height-percent:0;mso-width-percent:0;mso-height-percent:0" o:hralign="center" o:hrstd="t" o:hr="t" fillcolor="#a0a0a0" stroked="f"/>
        </w:pict>
      </w:r>
    </w:p>
    <w:p w14:paraId="1D4B984E" w14:textId="77777777" w:rsidR="00D345EA" w:rsidRPr="00D345EA" w:rsidRDefault="00D345EA" w:rsidP="00D34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5EA">
        <w:rPr>
          <w:rFonts w:ascii="Times New Roman" w:eastAsia="Times New Roman" w:hAnsi="Times New Roman" w:cs="Times New Roman"/>
          <w:b/>
          <w:bCs/>
          <w:kern w:val="0"/>
          <w:sz w:val="36"/>
          <w:szCs w:val="36"/>
          <w14:ligatures w14:val="none"/>
        </w:rPr>
        <w:t>So What Is the Process, Really?</w:t>
      </w:r>
    </w:p>
    <w:p w14:paraId="781EAFE4" w14:textId="77777777"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In reality, buying property in Dubai as a foreigner unfolds like this:</w:t>
      </w:r>
    </w:p>
    <w:p w14:paraId="5B9AD5F5" w14:textId="77777777" w:rsidR="00D345EA" w:rsidRDefault="00D345EA" w:rsidP="00D345E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choose the right area</w:t>
      </w:r>
      <w:r w:rsidRPr="00D345EA">
        <w:rPr>
          <w:rFonts w:ascii="Times New Roman" w:eastAsia="Times New Roman" w:hAnsi="Times New Roman" w:cs="Times New Roman"/>
          <w:kern w:val="0"/>
          <w14:ligatures w14:val="none"/>
        </w:rPr>
        <w:t>,</w:t>
      </w:r>
      <w:r w:rsidRPr="00D345EA">
        <w:rPr>
          <w:rFonts w:ascii="Times New Roman" w:eastAsia="Times New Roman" w:hAnsi="Times New Roman" w:cs="Times New Roman"/>
          <w:kern w:val="0"/>
          <w14:ligatures w14:val="none"/>
        </w:rPr>
        <w:t xml:space="preserve"> not just the right project.</w:t>
      </w:r>
    </w:p>
    <w:p w14:paraId="3C7463EE" w14:textId="77777777" w:rsidR="00D345EA" w:rsidRDefault="00D345EA" w:rsidP="00D345E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decide between immediate stability or future upside.</w:t>
      </w:r>
    </w:p>
    <w:p w14:paraId="5C05C2C1" w14:textId="77777777" w:rsidR="00D345EA" w:rsidRDefault="00D345EA" w:rsidP="00D345E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calculate total acquisition costs properly.</w:t>
      </w:r>
    </w:p>
    <w:p w14:paraId="2334AAE6" w14:textId="77777777" w:rsidR="00D345EA" w:rsidRDefault="00D345EA" w:rsidP="00D345E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secure the unit.</w:t>
      </w:r>
    </w:p>
    <w:p w14:paraId="3DCEE632" w14:textId="77777777" w:rsidR="00D345EA" w:rsidRDefault="00D345EA" w:rsidP="00D345E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complete structured transfer.</w:t>
      </w:r>
    </w:p>
    <w:p w14:paraId="4C4EA993" w14:textId="5A81BA24" w:rsidR="00D345EA" w:rsidRPr="00D345EA" w:rsidRDefault="00D345EA" w:rsidP="00D345E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You plan rental or residency strategy intentionally.</w:t>
      </w:r>
    </w:p>
    <w:p w14:paraId="71B6CE67" w14:textId="77777777" w:rsid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And when done correctly, the process is not only straightforward</w:t>
      </w:r>
      <w:r>
        <w:rPr>
          <w:rFonts w:ascii="Times New Roman" w:eastAsia="Times New Roman" w:hAnsi="Times New Roman" w:cs="Times New Roman"/>
          <w:kern w:val="0"/>
          <w14:ligatures w14:val="none"/>
        </w:rPr>
        <w:t>. I</w:t>
      </w:r>
      <w:r w:rsidRPr="00D345EA">
        <w:rPr>
          <w:rFonts w:ascii="Times New Roman" w:eastAsia="Times New Roman" w:hAnsi="Times New Roman" w:cs="Times New Roman"/>
          <w:kern w:val="0"/>
          <w14:ligatures w14:val="none"/>
        </w:rPr>
        <w:t>t is internationally accessible in a way few prime global cities allow.</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Dubai remains one of the rare markets where a foreigner can own 100% freehold property in prime locations, with no annual property tax and strong rental yields.</w:t>
      </w:r>
      <w:r>
        <w:rPr>
          <w:rFonts w:ascii="Times New Roman" w:eastAsia="Times New Roman" w:hAnsi="Times New Roman" w:cs="Times New Roman"/>
          <w:kern w:val="0"/>
          <w14:ligatures w14:val="none"/>
        </w:rPr>
        <w:t xml:space="preserve"> </w:t>
      </w:r>
    </w:p>
    <w:p w14:paraId="21EEC315" w14:textId="065A701D" w:rsidR="00D345EA" w:rsidRPr="00D345EA" w:rsidRDefault="00D345EA" w:rsidP="00D345EA">
      <w:pPr>
        <w:spacing w:before="100" w:beforeAutospacing="1" w:after="100" w:afterAutospacing="1" w:line="240" w:lineRule="auto"/>
        <w:rPr>
          <w:rFonts w:ascii="Times New Roman" w:eastAsia="Times New Roman" w:hAnsi="Times New Roman" w:cs="Times New Roman"/>
          <w:kern w:val="0"/>
          <w14:ligatures w14:val="none"/>
        </w:rPr>
      </w:pPr>
      <w:r w:rsidRPr="00D345EA">
        <w:rPr>
          <w:rFonts w:ascii="Times New Roman" w:eastAsia="Times New Roman" w:hAnsi="Times New Roman" w:cs="Times New Roman"/>
          <w:kern w:val="0"/>
          <w14:ligatures w14:val="none"/>
        </w:rPr>
        <w:t>But the key isn’t just access.</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It’s alignment.</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Alignment between your capital, your timeline, your risk appetite, and the area you choose.</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Because in Dubai, the system is structured.</w:t>
      </w:r>
      <w:r>
        <w:rPr>
          <w:rFonts w:ascii="Times New Roman" w:eastAsia="Times New Roman" w:hAnsi="Times New Roman" w:cs="Times New Roman"/>
          <w:kern w:val="0"/>
          <w14:ligatures w14:val="none"/>
        </w:rPr>
        <w:t xml:space="preserve"> </w:t>
      </w:r>
      <w:r w:rsidRPr="00D345EA">
        <w:rPr>
          <w:rFonts w:ascii="Times New Roman" w:eastAsia="Times New Roman" w:hAnsi="Times New Roman" w:cs="Times New Roman"/>
          <w:kern w:val="0"/>
          <w14:ligatures w14:val="none"/>
        </w:rPr>
        <w:t>But the strategy is personal.</w:t>
      </w:r>
    </w:p>
    <w:p w14:paraId="2210A3D4" w14:textId="77777777" w:rsidR="003F2473" w:rsidRDefault="003F2473"/>
    <w:sectPr w:rsidR="003F24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F12C4"/>
    <w:multiLevelType w:val="hybridMultilevel"/>
    <w:tmpl w:val="9ACC2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5D0A36"/>
    <w:multiLevelType w:val="hybridMultilevel"/>
    <w:tmpl w:val="10A84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670551">
    <w:abstractNumId w:val="0"/>
  </w:num>
  <w:num w:numId="2" w16cid:durableId="1032540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EA"/>
    <w:rsid w:val="003F2473"/>
    <w:rsid w:val="0045230C"/>
    <w:rsid w:val="00511117"/>
    <w:rsid w:val="007C5C84"/>
    <w:rsid w:val="00D345EA"/>
    <w:rsid w:val="00E95A0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2473"/>
  <w15:chartTrackingRefBased/>
  <w15:docId w15:val="{0ABAA4D5-48EC-A848-8F4E-1AF1145F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4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4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EA"/>
    <w:rPr>
      <w:rFonts w:eastAsiaTheme="majorEastAsia" w:cstheme="majorBidi"/>
      <w:color w:val="272727" w:themeColor="text1" w:themeTint="D8"/>
    </w:rPr>
  </w:style>
  <w:style w:type="paragraph" w:styleId="Title">
    <w:name w:val="Title"/>
    <w:basedOn w:val="Normal"/>
    <w:next w:val="Normal"/>
    <w:link w:val="TitleChar"/>
    <w:uiPriority w:val="10"/>
    <w:qFormat/>
    <w:rsid w:val="00D34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EA"/>
    <w:pPr>
      <w:spacing w:before="160"/>
      <w:jc w:val="center"/>
    </w:pPr>
    <w:rPr>
      <w:i/>
      <w:iCs/>
      <w:color w:val="404040" w:themeColor="text1" w:themeTint="BF"/>
    </w:rPr>
  </w:style>
  <w:style w:type="character" w:customStyle="1" w:styleId="QuoteChar">
    <w:name w:val="Quote Char"/>
    <w:basedOn w:val="DefaultParagraphFont"/>
    <w:link w:val="Quote"/>
    <w:uiPriority w:val="29"/>
    <w:rsid w:val="00D345EA"/>
    <w:rPr>
      <w:i/>
      <w:iCs/>
      <w:color w:val="404040" w:themeColor="text1" w:themeTint="BF"/>
    </w:rPr>
  </w:style>
  <w:style w:type="paragraph" w:styleId="ListParagraph">
    <w:name w:val="List Paragraph"/>
    <w:basedOn w:val="Normal"/>
    <w:uiPriority w:val="34"/>
    <w:qFormat/>
    <w:rsid w:val="00D345EA"/>
    <w:pPr>
      <w:ind w:left="720"/>
      <w:contextualSpacing/>
    </w:pPr>
  </w:style>
  <w:style w:type="character" w:styleId="IntenseEmphasis">
    <w:name w:val="Intense Emphasis"/>
    <w:basedOn w:val="DefaultParagraphFont"/>
    <w:uiPriority w:val="21"/>
    <w:qFormat/>
    <w:rsid w:val="00D345EA"/>
    <w:rPr>
      <w:i/>
      <w:iCs/>
      <w:color w:val="2F5496" w:themeColor="accent1" w:themeShade="BF"/>
    </w:rPr>
  </w:style>
  <w:style w:type="paragraph" w:styleId="IntenseQuote">
    <w:name w:val="Intense Quote"/>
    <w:basedOn w:val="Normal"/>
    <w:next w:val="Normal"/>
    <w:link w:val="IntenseQuoteChar"/>
    <w:uiPriority w:val="30"/>
    <w:qFormat/>
    <w:rsid w:val="00D34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5EA"/>
    <w:rPr>
      <w:i/>
      <w:iCs/>
      <w:color w:val="2F5496" w:themeColor="accent1" w:themeShade="BF"/>
    </w:rPr>
  </w:style>
  <w:style w:type="character" w:styleId="IntenseReference">
    <w:name w:val="Intense Reference"/>
    <w:basedOn w:val="DefaultParagraphFont"/>
    <w:uiPriority w:val="32"/>
    <w:qFormat/>
    <w:rsid w:val="00D345EA"/>
    <w:rPr>
      <w:b/>
      <w:bCs/>
      <w:smallCaps/>
      <w:color w:val="2F5496" w:themeColor="accent1" w:themeShade="BF"/>
      <w:spacing w:val="5"/>
    </w:rPr>
  </w:style>
  <w:style w:type="paragraph" w:styleId="NormalWeb">
    <w:name w:val="Normal (Web)"/>
    <w:basedOn w:val="Normal"/>
    <w:uiPriority w:val="99"/>
    <w:semiHidden/>
    <w:unhideWhenUsed/>
    <w:rsid w:val="00D345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Talakina</dc:creator>
  <cp:keywords/>
  <dc:description/>
  <cp:lastModifiedBy>Christina Talakina</cp:lastModifiedBy>
  <cp:revision>1</cp:revision>
  <dcterms:created xsi:type="dcterms:W3CDTF">2026-02-28T06:23:00Z</dcterms:created>
  <dcterms:modified xsi:type="dcterms:W3CDTF">2026-02-28T06:33:00Z</dcterms:modified>
</cp:coreProperties>
</file>