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Phân tích Input, Output và Thách thức kỹ thuật</w:t>
      </w:r>
    </w:p>
    <w:p>
      <w:pPr>
        <w:spacing w:after="120" w:line="276"/>
      </w:pPr>
      <w:r>
        <w:rPr>
          <w:color w:val="000000"/>
          <w:sz w:val="24"/>
          <w:szCs w:val="24"/>
          <w:rFonts w:ascii="Times New Roman" w:cs="Times New Roman" w:eastAsia="Times New Roman" w:hAnsi="Times New Roman"/>
        </w:rPr>
        <w:t xml:space="preserve">Trong bài toán TripFareEngine của hệ thống GrabRide, việc xử lý rẽ nhánh điều kiện đóng vai trò quyết định độ ổn định và khả năng bảo trì của mã nguồn.</w:t>
      </w:r>
    </w:p>
    <w:p>
      <w:pPr>
        <w:spacing w:after="120" w:line="276"/>
      </w:pPr>
      <w:r>
        <w:rPr>
          <w:color w:val="000000"/>
          <w:sz w:val="24"/>
          <w:szCs w:val="24"/>
          <w:rFonts w:ascii="Times New Roman" w:cs="Times New Roman" w:eastAsia="Times New Roman" w:hAnsi="Times New Roman"/>
        </w:rPr>
        <w:t xml:space="preserve">Dữ liệu đầu vào (Input) bao gồm 'distance_km' (kiểu double đại diện cho quãng đường di chuyển) và 'is_surge' (kiểu int biểu thị trạng thái giờ cao điểm hoặc thời tiết xấu với giá trị 0 hoặc 1).</w:t>
      </w:r>
    </w:p>
    <w:p>
      <w:pPr>
        <w:spacing w:after="120" w:line="276"/>
      </w:pPr>
      <w:r>
        <w:rPr>
          <w:color w:val="000000"/>
          <w:sz w:val="24"/>
          <w:szCs w:val="24"/>
          <w:rFonts w:ascii="Times New Roman" w:cs="Times New Roman" w:eastAsia="Times New Roman" w:hAnsi="Times New Roman"/>
        </w:rPr>
        <w:t xml:space="preserve">Dữ liệu đầu ra (Output) là tổng số tiền cước 'total_fare' (kiểu double) được làm tròn chính xác đến 2 chữ số thập phân.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Điểm biên quãng đường: Đúng 2.0 km phải chịu mức giá cố định chính xác 12.000 VNĐ mà không bị cộng thêm chi phí vượt trội.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Bẫy dữ liệu đầu vào: Quãng đường nhập vào âm hoặc bằng 0 phải bị chặn ngay lập tức. Trạng thái phụ phí chỉ chấp nhận đúng 0 hoặc 1, mọi giá trị khác đều là lỗi.</w:t>
      </w:r>
    </w:p>
    <w:p>
      <w:pPr>
        <w:spacing w:before="240" w:after="120"/>
      </w:pPr>
      <w:r>
        <w:rPr>
          <w:b/>
          <w:bCs/>
          <w:color w:val="000000"/>
          <w:sz w:val="26"/>
          <w:szCs w:val="26"/>
          <w:rFonts w:ascii="Times New Roman" w:cs="Times New Roman" w:eastAsia="Times New Roman" w:hAnsi="Times New Roman"/>
        </w:rPr>
        <w:t xml:space="preserve">2. So sánh Giải pháp Legacy (Nested IF) và Giải pháp Refactored (Guard Clauses)</w:t>
      </w:r>
    </w:p>
    <w:p>
      <w:pPr>
        <w:spacing w:after="120" w:line="276"/>
      </w:pPr>
      <w:r>
        <w:rPr>
          <w:color w:val="000000"/>
          <w:sz w:val="24"/>
          <w:szCs w:val="24"/>
          <w:rFonts w:ascii="Times New Roman" w:cs="Times New Roman" w:eastAsia="Times New Roman" w:hAnsi="Times New Roman"/>
        </w:rPr>
        <w:t xml:space="preserve">Đoạn mã legacy thường gom tất cả logic kiểm tra quãng đường và phụ phí vào chung một khối if/else lồng nhau sâu tới 3, 4 tầng. Điều này dẫn đến việc nhân hệ số '1.2' bị lặp lại ở nhiều nhánh khác nhau, khiến lập trình viên rất dễ bỏ sót khi nghiệp vụ thay đổi.</w:t>
      </w:r>
    </w:p>
    <w:p>
      <w:pPr>
        <w:spacing w:after="120" w:line="276"/>
      </w:pPr>
      <w:r>
        <w:rPr>
          <w:color w:val="000000"/>
          <w:sz w:val="24"/>
          <w:szCs w:val="24"/>
          <w:rFonts w:ascii="Times New Roman" w:cs="Times New Roman" w:eastAsia="Times New Roman" w:hAnsi="Times New Roman"/>
        </w:rPr>
        <w:t xml:space="preserve">Giải pháp tái cấu trúc áp dụng tư duy Guard Clauses kết hợp tính toán theo bước (Step-by-Step Calculation) giúp tách biệt hoàn toàn việc kiểm tra dữ liệu lỗi, tính cước cơ bản và cộng phụ phí.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 đánh giá</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(Legacy / Nested IF)</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(Refactored / Guard Clauses)</w:t>
            </w:r>
          </w:p>
        </w:tc>
      </w:tr>
      <w:tr>
        <w:tc>
          <w:tcPr>
            <w:shd w:fill="FFFFFF"/>
          </w:tcPr>
          <w:p>
            <w:pPr>
              <w:spacing w:before="60" w:after="60"/>
            </w:pPr>
            <w:r>
              <w:rPr>
                <w:color w:val="000000"/>
                <w:sz w:val="22"/>
                <w:szCs w:val="22"/>
                <w:rFonts w:ascii="Times New Roman" w:cs="Times New Roman" w:eastAsia="Times New Roman" w:hAnsi="Times New Roman"/>
              </w:rPr>
              <w:t xml:space="preserve">Độ phức tạp đọc hiểu</w:t>
            </w:r>
          </w:p>
        </w:tc>
        <w:tc>
          <w:tcPr>
            <w:shd w:fill="FFFFFF"/>
          </w:tcPr>
          <w:p>
            <w:pPr>
              <w:spacing w:before="60" w:after="60"/>
            </w:pPr>
            <w:r>
              <w:rPr>
                <w:color w:val="000000"/>
                <w:sz w:val="22"/>
                <w:szCs w:val="22"/>
                <w:rFonts w:ascii="Times New Roman" w:cs="Times New Roman" w:eastAsia="Times New Roman" w:hAnsi="Times New Roman"/>
              </w:rPr>
              <w:t xml:space="preserve">Cao (Cognitive Load lớn do lồng nhau nhiều tầng)</w:t>
            </w:r>
          </w:p>
        </w:tc>
        <w:tc>
          <w:tcPr>
            <w:shd w:fill="FFFFFF"/>
          </w:tcPr>
          <w:p>
            <w:pPr>
              <w:spacing w:before="60" w:after="60"/>
            </w:pPr>
            <w:r>
              <w:rPr>
                <w:color w:val="000000"/>
                <w:sz w:val="22"/>
                <w:szCs w:val="22"/>
                <w:rFonts w:ascii="Times New Roman" w:cs="Times New Roman" w:eastAsia="Times New Roman" w:hAnsi="Times New Roman"/>
              </w:rPr>
              <w:t xml:space="preserve">Thấp (Mã phẳng, dễ đọc từ trên xuống dưới)</w:t>
            </w:r>
          </w:p>
        </w:tc>
      </w:tr>
      <w:tr>
        <w:tc>
          <w:tcPr>
            <w:shd w:fill="FAFAFA"/>
          </w:tcPr>
          <w:p>
            <w:pPr>
              <w:spacing w:before="60" w:after="60"/>
            </w:pPr>
            <w:r>
              <w:rPr>
                <w:color w:val="000000"/>
                <w:sz w:val="22"/>
                <w:szCs w:val="22"/>
                <w:rFonts w:ascii="Times New Roman" w:cs="Times New Roman" w:eastAsia="Times New Roman" w:hAnsi="Times New Roman"/>
              </w:rPr>
              <w:t xml:space="preserve">Khả năng bảo trì</w:t>
            </w:r>
          </w:p>
        </w:tc>
        <w:tc>
          <w:tcPr>
            <w:shd w:fill="FAFAFA"/>
          </w:tcPr>
          <w:p>
            <w:pPr>
              <w:spacing w:before="60" w:after="60"/>
            </w:pPr>
            <w:r>
              <w:rPr>
                <w:color w:val="000000"/>
                <w:sz w:val="22"/>
                <w:szCs w:val="22"/>
                <w:rFonts w:ascii="Times New Roman" w:cs="Times New Roman" w:eastAsia="Times New Roman" w:hAnsi="Times New Roman"/>
              </w:rPr>
              <w:t xml:space="preserve">Thấp (Phải sửa công thức nhân phụ phí ở nhiều nhánh)</w:t>
            </w:r>
          </w:p>
        </w:tc>
        <w:tc>
          <w:tcPr>
            <w:shd w:fill="FAFAFA"/>
          </w:tcPr>
          <w:p>
            <w:pPr>
              <w:spacing w:before="60" w:after="60"/>
            </w:pPr>
            <w:r>
              <w:rPr>
                <w:color w:val="000000"/>
                <w:sz w:val="22"/>
                <w:szCs w:val="22"/>
                <w:rFonts w:ascii="Times New Roman" w:cs="Times New Roman" w:eastAsia="Times New Roman" w:hAnsi="Times New Roman"/>
              </w:rPr>
              <w:t xml:space="preserve">Cao (Chỉ cần thay đổi hằng số hoặc một dòng duy nhất)</w:t>
            </w:r>
          </w:p>
        </w:tc>
      </w:tr>
      <w:tr>
        <w:tc>
          <w:tcPr>
            <w:shd w:fill="FFFFFF"/>
          </w:tcPr>
          <w:p>
            <w:pPr>
              <w:spacing w:before="60" w:after="60"/>
            </w:pPr>
            <w:r>
              <w:rPr>
                <w:color w:val="000000"/>
                <w:sz w:val="22"/>
                <w:szCs w:val="22"/>
                <w:rFonts w:ascii="Times New Roman" w:cs="Times New Roman" w:eastAsia="Times New Roman" w:hAnsi="Times New Roman"/>
              </w:rPr>
              <w:t xml:space="preserve">Trùng lặp mã nguồn</w:t>
            </w:r>
          </w:p>
        </w:tc>
        <w:tc>
          <w:tcPr>
            <w:shd w:fill="FFFFFF"/>
          </w:tcPr>
          <w:p>
            <w:pPr>
              <w:spacing w:before="60" w:after="60"/>
            </w:pPr>
            <w:r>
              <w:rPr>
                <w:color w:val="000000"/>
                <w:sz w:val="22"/>
                <w:szCs w:val="22"/>
                <w:rFonts w:ascii="Times New Roman" w:cs="Times New Roman" w:eastAsia="Times New Roman" w:hAnsi="Times New Roman"/>
              </w:rPr>
              <w:t xml:space="preserve">Nhiều (Code Duplication xuất hiện ở các nhánh nhân hệ số)</w:t>
            </w:r>
          </w:p>
        </w:tc>
        <w:tc>
          <w:tcPr>
            <w:shd w:fill="FFFFFF"/>
          </w:tcPr>
          <w:p>
            <w:pPr>
              <w:spacing w:before="60" w:after="60"/>
            </w:pPr>
            <w:r>
              <w:rPr>
                <w:color w:val="000000"/>
                <w:sz w:val="22"/>
                <w:szCs w:val="22"/>
                <w:rFonts w:ascii="Times New Roman" w:cs="Times New Roman" w:eastAsia="Times New Roman" w:hAnsi="Times New Roman"/>
              </w:rPr>
              <w:t xml:space="preserve">Không có (Tách biệt rõ ràng từng bước xử lý)</w:t>
            </w:r>
          </w:p>
        </w:tc>
      </w:tr>
      <w:tr>
        <w:tc>
          <w:tcPr>
            <w:shd w:fill="FAFAFA"/>
          </w:tcPr>
          <w:p>
            <w:pPr>
              <w:spacing w:before="60" w:after="60"/>
            </w:pPr>
            <w:r>
              <w:rPr>
                <w:color w:val="000000"/>
                <w:sz w:val="22"/>
                <w:szCs w:val="22"/>
                <w:rFonts w:ascii="Times New Roman" w:cs="Times New Roman" w:eastAsia="Times New Roman" w:hAnsi="Times New Roman"/>
              </w:rPr>
              <w:t xml:space="preserve">Khả năng mở rộng</w:t>
            </w:r>
          </w:p>
        </w:tc>
        <w:tc>
          <w:tcPr>
            <w:shd w:fill="FAFAFA"/>
          </w:tcPr>
          <w:p>
            <w:pPr>
              <w:spacing w:before="60" w:after="60"/>
            </w:pPr>
            <w:r>
              <w:rPr>
                <w:color w:val="000000"/>
                <w:sz w:val="22"/>
                <w:szCs w:val="22"/>
                <w:rFonts w:ascii="Times New Roman" w:cs="Times New Roman" w:eastAsia="Times New Roman" w:hAnsi="Times New Roman"/>
              </w:rPr>
              <w:t xml:space="preserve">Kém (Dễ phát sinh lỗi logic khi thêm quy tắc mới)</w:t>
            </w:r>
          </w:p>
        </w:tc>
        <w:tc>
          <w:tcPr>
            <w:shd w:fill="FAFAFA"/>
          </w:tcPr>
          <w:p>
            <w:pPr>
              <w:spacing w:before="60" w:after="60"/>
            </w:pPr>
            <w:r>
              <w:rPr>
                <w:color w:val="000000"/>
                <w:sz w:val="22"/>
                <w:szCs w:val="22"/>
                <w:rFonts w:ascii="Times New Roman" w:cs="Times New Roman" w:eastAsia="Times New Roman" w:hAnsi="Times New Roman"/>
              </w:rPr>
              <w:t xml:space="preserve">Tốt (Dễ dàng bổ sung loại phụ phí hoặc biểu giá mới)</w:t>
            </w:r>
          </w:p>
        </w:tc>
      </w:tr>
    </w:tbl>
    <w:p>
      <w:pPr>
        <w:spacing w:after="160"/>
      </w:pPr>
    </w:p>
    <w:p>
      <w:pPr>
        <w:spacing w:before="240" w:after="120"/>
      </w:pPr>
      <w:r>
        <w:rPr>
          <w:b/>
          <w:bCs/>
          <w:color w:val="000000"/>
          <w:sz w:val="26"/>
          <w:szCs w:val="26"/>
          <w:rFonts w:ascii="Times New Roman" w:cs="Times New Roman" w:eastAsia="Times New Roman" w:hAnsi="Times New Roman"/>
        </w:rPr>
        <w:t xml:space="preserve">3. Quyết định lựa chọn và Thiết kế mã giả (Pseudocode)</w:t>
      </w:r>
    </w:p>
    <w:p>
      <w:pPr>
        <w:spacing w:after="120" w:line="276"/>
      </w:pPr>
      <w:r>
        <w:rPr>
          <w:color w:val="000000"/>
          <w:sz w:val="24"/>
          <w:szCs w:val="24"/>
          <w:rFonts w:ascii="Times New Roman" w:cs="Times New Roman" w:eastAsia="Times New Roman" w:hAnsi="Times New Roman"/>
        </w:rPr>
        <w:t xml:space="preserve">Dựa trên bảng phân tích trade-off, chúng ta dứt khoát lựa chọn Giải pháp 2 vì tính an toàn, tường minh và chuẩn mực kỹ thuật phần mềm.</w:t>
      </w:r>
    </w:p>
    <w:p>
      <w:pPr>
        <w:spacing w:after="120" w:line="276"/>
      </w:pPr>
      <w:r>
        <w:rPr>
          <w:color w:val="000000"/>
          <w:sz w:val="24"/>
          <w:szCs w:val="24"/>
          <w:rFonts w:ascii="Times New Roman" w:cs="Times New Roman" w:eastAsia="Times New Roman" w:hAnsi="Times New Roman"/>
        </w:rPr>
        <w:t xml:space="preserve">Dưới đây là mã giả thể hiện giải pháp được chọn: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1: Kiểm tra 'distance_km &lt;= 0.0' -&gt; Thông báo lỗi và thoát hàm.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2: Kiểm tra 'is_surge != 0' và 'is_surge != 1' -&gt; Thông báo lỗi và thoát hàm.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3: Tính cước cơ bản dựa trên 'distance_km'. Nếu '&lt;= 2.0', gán '12000'. Ngược lại, tính thêm cước vượt quãng đường.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4: Kiểm tra 'is_surge == 1' thì nhân tổng cước với hệ số '1.2'.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Bước 5: In kết quả làm tròn 2 chữ số thập phân.</w:t>
      </w:r>
    </w:p>
    <w:p>
      <w:pPr>
        <w:spacing w:before="240" w:after="120"/>
      </w:pPr>
      <w:r>
        <w:rPr>
          <w:b/>
          <w:bCs/>
          <w:color w:val="000000"/>
          <w:sz w:val="26"/>
          <w:szCs w:val="26"/>
          <w:rFonts w:ascii="Times New Roman" w:cs="Times New Roman" w:eastAsia="Times New Roman" w:hAnsi="Times New Roman"/>
        </w:rPr>
        <w:t xml:space="preserve">4. Hướng dẫn kiểm thử và Triển khai thực tế</w:t>
      </w:r>
    </w:p>
    <w:p>
      <w:pPr>
        <w:spacing w:after="120" w:line="276"/>
      </w:pPr>
      <w:r>
        <w:rPr>
          <w:color w:val="000000"/>
          <w:sz w:val="24"/>
          <w:szCs w:val="24"/>
          <w:rFonts w:ascii="Times New Roman" w:cs="Times New Roman" w:eastAsia="Times New Roman" w:hAnsi="Times New Roman"/>
        </w:rPr>
        <w:t xml:space="preserve">Chương trình C hoàn chỉnh đã được viết tuân thủ chặt chẽ các quy chuẩn lập trình, đặt tại thư mục 'GRAB_RIDE_SESSION02/exercise10/main.c'.</w:t>
      </w:r>
    </w:p>
    <w:p>
      <w:pPr>
        <w:spacing w:after="120" w:line="276"/>
      </w:pPr>
      <w:r>
        <w:rPr>
          <w:color w:val="000000"/>
          <w:sz w:val="24"/>
          <w:szCs w:val="24"/>
          <w:rFonts w:ascii="Times New Roman" w:cs="Times New Roman" w:eastAsia="Times New Roman" w:hAnsi="Times New Roman"/>
        </w:rPr>
        <w:t xml:space="preserve">Để biên dịch và chạy thử trên môi trường Linux/GCC hoặc VS Code, sinh viên sử dụng lệnh 'gcc main.c -o trip_fare' và chạy './trip_fare' để kiểm tra các trường hợp biên như quãng đường 2.0 km, giá trị âm hoặc trạng thái phụ phí không hợp lệ.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2026-10-14T04:25:29.868Z</dcterms:created>
  <dcterms:modified xsi:type="dcterms:W3CDTF">2026-10-14T04:25:29.868Z</dcterms:modified>
</cp:coreProperties>
</file>

<file path=docProps/custom.xml><?xml version="1.0" encoding="utf-8"?>
<Properties xmlns="http://schemas.openxmlformats.org/officeDocument/2006/custom-properties" xmlns:vt="http://schemas.openxmlformats.org/officeDocument/2006/docPropsVTypes"/>
</file>