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Mục tiêu và Phân tích Nghiệp vụ</w:t>
      </w:r>
    </w:p>
    <w:p>
      <w:pPr>
        <w:spacing w:after="120" w:line="276"/>
      </w:pPr>
      <w:r>
        <w:rPr>
          <w:color w:val="000000"/>
          <w:sz w:val="24"/>
          <w:szCs w:val="24"/>
          <w:rFonts w:ascii="Times New Roman" w:cs="Times New Roman" w:eastAsia="Times New Roman" w:hAnsi="Times New Roman"/>
        </w:rPr>
        <w:t xml:space="preserve">Bài thực hành số 03 tập trung củng cố kỹ năng lập trình cấu trúc dữ liệu nâng cao trong ngôn ngữ C, cụ thể là việc kết hợp struct, mảng struct (Array of Struct), các thuật toán tìm kiếm tuyến tính và kỹ thuật xử lý bộ đệm bàn phím an toàn.</w:t>
      </w:r>
    </w:p>
    <w:p>
      <w:pPr>
        <w:spacing w:after="120" w:line="276"/>
      </w:pPr>
      <w:r>
        <w:rPr>
          <w:color w:val="000000"/>
          <w:sz w:val="24"/>
          <w:szCs w:val="24"/>
          <w:rFonts w:ascii="Times New Roman" w:cs="Times New Roman" w:eastAsia="Times New Roman" w:hAnsi="Times New Roman"/>
        </w:rPr>
        <w:t xml:space="preserve">Quy tắc nghiệp vụ hàng không yêu cầu hệ thống phải tính toán chính xác cước phí hành lý ký gửi dựa trên hạng vé của hành khách. Hạng vé Business được miễn phí 20kg đầu tiên, trong khi các hạng vé Eco và Deluxe phải chịu phí toàn bộ số kg hành lý mang theo với đơn giá chuẩn 50.000 VNĐ/kg.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Đơn giá chuẩn: 50.000 VNĐ cho mỗi kg hành lý ký gửi.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Hạng Business: Miễn cước 20kg đầu, vượt quá tính tiền phần dư (canNang - 20) * 50000.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Hạng Eco và Deluxe: Tính phí toàn bộ canNang * 50000 ngay từ kg đầu tiên.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soát dữ liệu biên: Khối lượng hành lý nhập vào phải &gt;= 0, số lượng vé N phải từ 1 đến 100.</w:t>
      </w:r>
    </w:p>
    <w:p>
      <w:pPr>
        <w:spacing w:before="240" w:after="120"/>
      </w:pPr>
      <w:r>
        <w:rPr>
          <w:b/>
          <w:bCs/>
          <w:color w:val="000000"/>
          <w:sz w:val="26"/>
          <w:szCs w:val="26"/>
          <w:rFonts w:ascii="Times New Roman" w:cs="Times New Roman" w:eastAsia="Times New Roman" w:hAnsi="Times New Roman"/>
        </w:rPr>
        <w:t xml:space="preserve">Nhiệm vụ 2: Thiết kế Cấu trúc Dữ liệu và Thuật toán</w:t>
      </w:r>
    </w:p>
    <w:p>
      <w:pPr>
        <w:spacing w:after="120" w:line="276"/>
      </w:pPr>
      <w:r>
        <w:rPr>
          <w:color w:val="000000"/>
          <w:sz w:val="24"/>
          <w:szCs w:val="24"/>
          <w:rFonts w:ascii="Times New Roman" w:cs="Times New Roman" w:eastAsia="Times New Roman" w:hAnsi="Times New Roman"/>
        </w:rPr>
        <w:t xml:space="preserve">Để lưu trữ danh sách vé máy bay, chương trình định nghĩa struct VeMayBay chứa các trường thông tin mã vé, họ tên hành khách, hạng vé, cân nặng hành lý và cước phí. Một mảng một chiều danhSachVe với sức chứa tối đa MAX_VE = 100 được khởi tạo.</w:t>
      </w:r>
    </w:p>
    <w:p>
      <w:pPr>
        <w:spacing w:after="120" w:line="276"/>
      </w:pPr>
      <w:r>
        <w:rPr>
          <w:color w:val="000000"/>
          <w:sz w:val="24"/>
          <w:szCs w:val="24"/>
          <w:rFonts w:ascii="Times New Roman" w:cs="Times New Roman" w:eastAsia="Times New Roman" w:hAnsi="Times New Roman"/>
        </w:rPr>
        <w:t xml:space="preserve">Quá trình xử lý bao gồm việc nhập dữ liệu với các bẫy trôi lệnh khi kết hợp scanf() và fgets(), làm sạch bộ đệm bằng lệnh while (getchar() != '
');, và duyệt mảng để thực hiện tìm kiếm tuyến tính bằng hàm strcmp() khi người dùng yêu cầu cập nhật thông 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Tên trường struct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Kiểu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Độ rộng / Định dạng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Ý nghĩa nghiệp vụ</w:t>
            </w:r>
          </w:p>
        </w:tc>
      </w:tr>
      <w:tr>
        <w:tc>
          <w:tcPr>
            <w:shd w:fill="FFFFFF"/>
          </w:tcPr>
          <w:p>
            <w:pPr>
              <w:spacing w:before="60" w:after="60"/>
            </w:pPr>
            <w:r>
              <w:rPr>
                <w:color w:val="000000"/>
                <w:sz w:val="22"/>
                <w:szCs w:val="22"/>
                <w:rFonts w:ascii="Times New Roman" w:cs="Times New Roman" w:eastAsia="Times New Roman" w:hAnsi="Times New Roman"/>
              </w:rPr>
              <w:t xml:space="preserve">maVe</w:t>
            </w:r>
          </w:p>
        </w:tc>
        <w:tc>
          <w:tcPr>
            <w:shd w:fill="FFFFFF"/>
          </w:tcPr>
          <w:p>
            <w:pPr>
              <w:spacing w:before="60" w:after="60"/>
            </w:pPr>
            <w:r>
              <w:rPr>
                <w:color w:val="000000"/>
                <w:sz w:val="22"/>
                <w:szCs w:val="22"/>
                <w:rFonts w:ascii="Times New Roman" w:cs="Times New Roman" w:eastAsia="Times New Roman" w:hAnsi="Times New Roman"/>
              </w:rPr>
              <w:t xml:space="preserve">char[]</w:t>
            </w:r>
          </w:p>
        </w:tc>
        <w:tc>
          <w:tcPr>
            <w:shd w:fill="FFFFFF"/>
          </w:tcPr>
          <w:p>
            <w:pPr>
              <w:spacing w:before="60" w:after="60"/>
            </w:pPr>
            <w:r>
              <w:rPr>
                <w:color w:val="000000"/>
                <w:sz w:val="22"/>
                <w:szCs w:val="22"/>
                <w:rFonts w:ascii="Times New Roman" w:cs="Times New Roman" w:eastAsia="Times New Roman" w:hAnsi="Times New Roman"/>
              </w:rPr>
              <w:t xml:space="preserve">Tối đa 15 ký tự</w:t>
            </w:r>
          </w:p>
        </w:tc>
        <w:tc>
          <w:tcPr>
            <w:shd w:fill="FFFFFF"/>
          </w:tcPr>
          <w:p>
            <w:pPr>
              <w:spacing w:before="60" w:after="60"/>
            </w:pPr>
            <w:r>
              <w:rPr>
                <w:color w:val="000000"/>
                <w:sz w:val="22"/>
                <w:szCs w:val="22"/>
                <w:rFonts w:ascii="Times New Roman" w:cs="Times New Roman" w:eastAsia="Times New Roman" w:hAnsi="Times New Roman"/>
              </w:rPr>
              <w:t xml:space="preserve">Mã đặt chỗ PNR (Ví dụ: VJ101, VN201)</w:t>
            </w:r>
          </w:p>
        </w:tc>
      </w:tr>
      <w:tr>
        <w:tc>
          <w:tcPr>
            <w:shd w:fill="FAFAFA"/>
          </w:tcPr>
          <w:p>
            <w:pPr>
              <w:spacing w:before="60" w:after="60"/>
            </w:pPr>
            <w:r>
              <w:rPr>
                <w:color w:val="000000"/>
                <w:sz w:val="22"/>
                <w:szCs w:val="22"/>
                <w:rFonts w:ascii="Times New Roman" w:cs="Times New Roman" w:eastAsia="Times New Roman" w:hAnsi="Times New Roman"/>
              </w:rPr>
              <w:t xml:space="preserve">tenHanhKhach</w:t>
            </w:r>
          </w:p>
        </w:tc>
        <w:tc>
          <w:tcPr>
            <w:shd w:fill="FAFAFA"/>
          </w:tcPr>
          <w:p>
            <w:pPr>
              <w:spacing w:before="60" w:after="60"/>
            </w:pPr>
            <w:r>
              <w:rPr>
                <w:color w:val="000000"/>
                <w:sz w:val="22"/>
                <w:szCs w:val="22"/>
                <w:rFonts w:ascii="Times New Roman" w:cs="Times New Roman" w:eastAsia="Times New Roman" w:hAnsi="Times New Roman"/>
              </w:rPr>
              <w:t xml:space="preserve">char[]</w:t>
            </w:r>
          </w:p>
        </w:tc>
        <w:tc>
          <w:tcPr>
            <w:shd w:fill="FAFAFA"/>
          </w:tcPr>
          <w:p>
            <w:pPr>
              <w:spacing w:before="60" w:after="60"/>
            </w:pPr>
            <w:r>
              <w:rPr>
                <w:color w:val="000000"/>
                <w:sz w:val="22"/>
                <w:szCs w:val="22"/>
                <w:rFonts w:ascii="Times New Roman" w:cs="Times New Roman" w:eastAsia="Times New Roman" w:hAnsi="Times New Roman"/>
              </w:rPr>
              <w:t xml:space="preserve">Tối đa 50 ký tự</w:t>
            </w:r>
          </w:p>
        </w:tc>
        <w:tc>
          <w:tcPr>
            <w:shd w:fill="FAFAFA"/>
          </w:tcPr>
          <w:p>
            <w:pPr>
              <w:spacing w:before="60" w:after="60"/>
            </w:pPr>
            <w:r>
              <w:rPr>
                <w:color w:val="000000"/>
                <w:sz w:val="22"/>
                <w:szCs w:val="22"/>
                <w:rFonts w:ascii="Times New Roman" w:cs="Times New Roman" w:eastAsia="Times New Roman" w:hAnsi="Times New Roman"/>
              </w:rPr>
              <w:t xml:space="preserve">Họ và tên đầy đủ của hành khách</w:t>
            </w:r>
          </w:p>
        </w:tc>
      </w:tr>
      <w:tr>
        <w:tc>
          <w:tcPr>
            <w:shd w:fill="FFFFFF"/>
          </w:tcPr>
          <w:p>
            <w:pPr>
              <w:spacing w:before="60" w:after="60"/>
            </w:pPr>
            <w:r>
              <w:rPr>
                <w:color w:val="000000"/>
                <w:sz w:val="22"/>
                <w:szCs w:val="22"/>
                <w:rFonts w:ascii="Times New Roman" w:cs="Times New Roman" w:eastAsia="Times New Roman" w:hAnsi="Times New Roman"/>
              </w:rPr>
              <w:t xml:space="preserve">hangVe</w:t>
            </w:r>
          </w:p>
        </w:tc>
        <w:tc>
          <w:tcPr>
            <w:shd w:fill="FFFFFF"/>
          </w:tcPr>
          <w:p>
            <w:pPr>
              <w:spacing w:before="60" w:after="60"/>
            </w:pPr>
            <w:r>
              <w:rPr>
                <w:color w:val="000000"/>
                <w:sz w:val="22"/>
                <w:szCs w:val="22"/>
                <w:rFonts w:ascii="Times New Roman" w:cs="Times New Roman" w:eastAsia="Times New Roman" w:hAnsi="Times New Roman"/>
              </w:rPr>
              <w:t xml:space="preserve">char[]</w:t>
            </w:r>
          </w:p>
        </w:tc>
        <w:tc>
          <w:tcPr>
            <w:shd w:fill="FFFFFF"/>
          </w:tcPr>
          <w:p>
            <w:pPr>
              <w:spacing w:before="60" w:after="60"/>
            </w:pPr>
            <w:r>
              <w:rPr>
                <w:color w:val="000000"/>
                <w:sz w:val="22"/>
                <w:szCs w:val="22"/>
                <w:rFonts w:ascii="Times New Roman" w:cs="Times New Roman" w:eastAsia="Times New Roman" w:hAnsi="Times New Roman"/>
              </w:rPr>
              <w:t xml:space="preserve">Tối đa 20 ký tự</w:t>
            </w:r>
          </w:p>
        </w:tc>
        <w:tc>
          <w:tcPr>
            <w:shd w:fill="FFFFFF"/>
          </w:tcPr>
          <w:p>
            <w:pPr>
              <w:spacing w:before="60" w:after="60"/>
            </w:pPr>
            <w:r>
              <w:rPr>
                <w:color w:val="000000"/>
                <w:sz w:val="22"/>
                <w:szCs w:val="22"/>
                <w:rFonts w:ascii="Times New Roman" w:cs="Times New Roman" w:eastAsia="Times New Roman" w:hAnsi="Times New Roman"/>
              </w:rPr>
              <w:t xml:space="preserve">Loại hạng vé (Business, Deluxe, Eco)</w:t>
            </w:r>
          </w:p>
        </w:tc>
      </w:tr>
      <w:tr>
        <w:tc>
          <w:tcPr>
            <w:shd w:fill="FAFAFA"/>
          </w:tcPr>
          <w:p>
            <w:pPr>
              <w:spacing w:before="60" w:after="60"/>
            </w:pPr>
            <w:r>
              <w:rPr>
                <w:color w:val="000000"/>
                <w:sz w:val="22"/>
                <w:szCs w:val="22"/>
                <w:rFonts w:ascii="Times New Roman" w:cs="Times New Roman" w:eastAsia="Times New Roman" w:hAnsi="Times New Roman"/>
              </w:rPr>
              <w:t xml:space="preserve">canNangHanhLy</w:t>
            </w:r>
          </w:p>
        </w:tc>
        <w:tc>
          <w:tcPr>
            <w:shd w:fill="FAFAFA"/>
          </w:tcPr>
          <w:p>
            <w:pPr>
              <w:spacing w:before="60" w:after="60"/>
            </w:pPr>
            <w:r>
              <w:rPr>
                <w:color w:val="000000"/>
                <w:sz w:val="22"/>
                <w:szCs w:val="22"/>
                <w:rFonts w:ascii="Times New Roman" w:cs="Times New Roman" w:eastAsia="Times New Roman" w:hAnsi="Times New Roman"/>
              </w:rPr>
              <w:t xml:space="preserve">float</w:t>
            </w:r>
          </w:p>
        </w:tc>
        <w:tc>
          <w:tcPr>
            <w:shd w:fill="FAFAFA"/>
          </w:tcPr>
          <w:p>
            <w:pPr>
              <w:spacing w:before="60" w:after="60"/>
            </w:pPr>
            <w:r>
              <w:rPr>
                <w:color w:val="000000"/>
                <w:sz w:val="22"/>
                <w:szCs w:val="22"/>
                <w:rFonts w:ascii="Times New Roman" w:cs="Times New Roman" w:eastAsia="Times New Roman" w:hAnsi="Times New Roman"/>
              </w:rPr>
              <w:t xml:space="preserve">%12.1f</w:t>
            </w:r>
          </w:p>
        </w:tc>
        <w:tc>
          <w:tcPr>
            <w:shd w:fill="FAFAFA"/>
          </w:tcPr>
          <w:p>
            <w:pPr>
              <w:spacing w:before="60" w:after="60"/>
            </w:pPr>
            <w:r>
              <w:rPr>
                <w:color w:val="000000"/>
                <w:sz w:val="22"/>
                <w:szCs w:val="22"/>
                <w:rFonts w:ascii="Times New Roman" w:cs="Times New Roman" w:eastAsia="Times New Roman" w:hAnsi="Times New Roman"/>
              </w:rPr>
              <w:t xml:space="preserve">Khối lượng hành lý ký gửi tính bằng kg</w:t>
            </w:r>
          </w:p>
        </w:tc>
      </w:tr>
      <w:tr>
        <w:tc>
          <w:tcPr>
            <w:shd w:fill="FFFFFF"/>
          </w:tcPr>
          <w:p>
            <w:pPr>
              <w:spacing w:before="60" w:after="60"/>
            </w:pPr>
            <w:r>
              <w:rPr>
                <w:color w:val="000000"/>
                <w:sz w:val="22"/>
                <w:szCs w:val="22"/>
                <w:rFonts w:ascii="Times New Roman" w:cs="Times New Roman" w:eastAsia="Times New Roman" w:hAnsi="Times New Roman"/>
              </w:rPr>
              <w:t xml:space="preserve">cuocHanhLy</w:t>
            </w:r>
          </w:p>
        </w:tc>
        <w:tc>
          <w:tcPr>
            <w:shd w:fill="FFFFFF"/>
          </w:tcPr>
          <w:p>
            <w:pPr>
              <w:spacing w:before="60" w:after="60"/>
            </w:pPr>
            <w:r>
              <w:rPr>
                <w:color w:val="000000"/>
                <w:sz w:val="22"/>
                <w:szCs w:val="22"/>
                <w:rFonts w:ascii="Times New Roman" w:cs="Times New Roman" w:eastAsia="Times New Roman" w:hAnsi="Times New Roman"/>
              </w:rPr>
              <w:t xml:space="preserve">double / float</w:t>
            </w:r>
          </w:p>
        </w:tc>
        <w:tc>
          <w:tcPr>
            <w:shd w:fill="FFFFFF"/>
          </w:tcPr>
          <w:p>
            <w:pPr>
              <w:spacing w:before="60" w:after="60"/>
            </w:pPr>
            <w:r>
              <w:rPr>
                <w:color w:val="000000"/>
                <w:sz w:val="22"/>
                <w:szCs w:val="22"/>
                <w:rFonts w:ascii="Times New Roman" w:cs="Times New Roman" w:eastAsia="Times New Roman" w:hAnsi="Times New Roman"/>
              </w:rPr>
              <w:t xml:space="preserve">%15.0f</w:t>
            </w:r>
          </w:p>
        </w:tc>
        <w:tc>
          <w:tcPr>
            <w:shd w:fill="FFFFFF"/>
          </w:tcPr>
          <w:p>
            <w:pPr>
              <w:spacing w:before="60" w:after="60"/>
            </w:pPr>
            <w:r>
              <w:rPr>
                <w:color w:val="000000"/>
                <w:sz w:val="22"/>
                <w:szCs w:val="22"/>
                <w:rFonts w:ascii="Times New Roman" w:cs="Times New Roman" w:eastAsia="Times New Roman" w:hAnsi="Times New Roman"/>
              </w:rPr>
              <w:t xml:space="preserve">Số tiền cước phí hành lý cần thanh toán (VNĐ)</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Mã nguồn chương trình C (quan_ly_hanh_ly_ve_may_bay.c)</w:t>
      </w:r>
    </w:p>
    <w:p>
      <w:pPr>
        <w:spacing w:after="120" w:line="276"/>
      </w:pPr>
      <w:r>
        <w:rPr>
          <w:color w:val="000000"/>
          <w:sz w:val="24"/>
          <w:szCs w:val="24"/>
          <w:rFonts w:ascii="Times New Roman" w:cs="Times New Roman" w:eastAsia="Times New Roman" w:hAnsi="Times New Roman"/>
        </w:rPr>
        <w:t xml:space="preserve">Toàn bộ chương trình được cài đặt hoàn chỉnh trong khối lệnh main(), tuân thủ tiêu chuẩn C11, sử dụng các định dạng printf() để căn chỉnh cột ngay ngắn và xử lý đầy đủ các ngoại lệ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Biên dịch mã nguồn bằng lệnh: gcc -std=c11 quan_ly_hanh_ly_ve_may_bay.c -o quan_ly_hanh_ly_ve_may_bay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Repository GitHub Organization: it102-rl-hoangcongdung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2026-10-14T15:45:02.091Z</dcterms:created>
  <dcterms:modified xsi:type="dcterms:W3CDTF">2026-10-14T15:45:02.091Z</dcterms:modified>
</cp:coreProperties>
</file>

<file path=docProps/custom.xml><?xml version="1.0" encoding="utf-8"?>
<Properties xmlns="http://schemas.openxmlformats.org/officeDocument/2006/custom-properties" xmlns:vt="http://schemas.openxmlformats.org/officeDocument/2006/docPropsVTypes"/>
</file>