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này thực hiện phân tích sự đánh đổi kỹ thuật giữa cách viết code nguyên khối truyền thống (Monolithic Switch-Case) và kiến trúc hàm mô-đun hóa (Modular Function Architecture) trong ứng dụng Console Menu CLI.</w:t>
      </w:r>
    </w:p>
    <w:p>
      <w:pPr>
        <w:spacing w:after="120" w:line="276"/>
      </w:pPr>
      <w:r>
        <w:rPr>
          <w:color w:val="000000"/>
          <w:sz w:val="24"/>
          <w:szCs w:val="24"/>
          <w:rFonts w:ascii="Times New Roman" w:cs="Times New Roman" w:eastAsia="Times New Roman" w:hAnsi="Times New Roman"/>
        </w:rPr>
        <w:t xml:space="preserve">Khi số lượng tính năng mở rộng từ 5 lên đến 20 chức năng, cách viết nhét toàn bộ logic vào switch-case sẽ làm file mã nguồn phình to, vi phạm nghiêm trọng nguyên lý Đơn nhiệm (Single Responsibility Principle - SRP).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Đánh giá khả năng bảo trì khi code dài hàng trăm dòng.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Đo lường độ phức tạp khi viết Unit Test độc lập từng chức năng.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Phân tích khả năng tái sử dụng logic khi chuyển dịch sang mô hình Web hoặc API.</w:t>
      </w:r>
    </w:p>
    <w:p>
      <w:pPr>
        <w:spacing w:before="240" w:after="120"/>
      </w:pPr>
      <w:r>
        <w:rPr>
          <w:b/>
          <w:bCs/>
          <w:color w:val="000000"/>
          <w:sz w:val="26"/>
          <w:szCs w:val="26"/>
          <w:rFonts w:ascii="Times New Roman" w:cs="Times New Roman" w:eastAsia="Times New Roman" w:hAnsi="Times New Roman"/>
        </w:rPr>
        <w:t xml:space="preserve">2. Phân tích Trade-off chi tiết qua Bảng đối chiếu</w:t>
      </w:r>
    </w:p>
    <w:p>
      <w:pPr>
        <w:spacing w:after="120" w:line="276"/>
      </w:pPr>
      <w:r>
        <w:rPr>
          <w:color w:val="000000"/>
          <w:sz w:val="24"/>
          <w:szCs w:val="24"/>
          <w:rFonts w:ascii="Times New Roman" w:cs="Times New Roman" w:eastAsia="Times New Roman" w:hAnsi="Times New Roman"/>
        </w:rPr>
        <w:t xml:space="preserve">Dưới đây là bảng phân tích chi tiết các tiêu chuẩn kỹ thuật giữa hai mô hình kiến trúc, phản ánh đúng thực tế khi phát triển ứng dụng JavaScript hướng đối tượng hoặc mô-đun hóa.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chuẩn đánh giá</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Monolithic Switch-Case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Modular Function Architecture</w:t>
            </w:r>
          </w:p>
        </w:tc>
      </w:tr>
      <w:tr>
        <w:tc>
          <w:tcPr>
            <w:shd w:fill="FFFFFF"/>
          </w:tcPr>
          <w:p>
            <w:pPr>
              <w:spacing w:before="60" w:after="60"/>
            </w:pPr>
            <w:r>
              <w:rPr>
                <w:color w:val="000000"/>
                <w:sz w:val="22"/>
                <w:szCs w:val="22"/>
                <w:rFonts w:ascii="Times New Roman" w:cs="Times New Roman" w:eastAsia="Times New Roman" w:hAnsi="Times New Roman"/>
              </w:rPr>
              <w:t xml:space="preserve">Độ dài khối switch</w:t>
            </w:r>
          </w:p>
        </w:tc>
        <w:tc>
          <w:tcPr>
            <w:shd w:fill="FFFFFF"/>
          </w:tcPr>
          <w:p>
            <w:pPr>
              <w:spacing w:before="60" w:after="60"/>
            </w:pPr>
            <w:r>
              <w:rPr>
                <w:color w:val="000000"/>
                <w:sz w:val="22"/>
                <w:szCs w:val="22"/>
                <w:rFonts w:ascii="Times New Roman" w:cs="Times New Roman" w:eastAsia="Times New Roman" w:hAnsi="Times New Roman"/>
              </w:rPr>
              <w:t xml:space="preserve">Hàng trăm dòng, cực kỳ rối rắm và khó đọc</w:t>
            </w:r>
          </w:p>
        </w:tc>
        <w:tc>
          <w:tcPr>
            <w:shd w:fill="FFFFFF"/>
          </w:tcPr>
          <w:p>
            <w:pPr>
              <w:spacing w:before="60" w:after="60"/>
            </w:pPr>
            <w:r>
              <w:rPr>
                <w:color w:val="000000"/>
                <w:sz w:val="22"/>
                <w:szCs w:val="22"/>
                <w:rFonts w:ascii="Times New Roman" w:cs="Times New Roman" w:eastAsia="Times New Roman" w:hAnsi="Times New Roman"/>
              </w:rPr>
              <w:t xml:space="preserve">Rất ngắn gọn, chỉ chứa đúng 1 dòng gọi hàm mỗi case</w:t>
            </w:r>
          </w:p>
        </w:tc>
      </w:tr>
      <w:tr>
        <w:tc>
          <w:tcPr>
            <w:shd w:fill="FAFAFA"/>
          </w:tcPr>
          <w:p>
            <w:pPr>
              <w:spacing w:before="60" w:after="60"/>
            </w:pPr>
            <w:r>
              <w:rPr>
                <w:color w:val="000000"/>
                <w:sz w:val="22"/>
                <w:szCs w:val="22"/>
                <w:rFonts w:ascii="Times New Roman" w:cs="Times New Roman" w:eastAsia="Times New Roman" w:hAnsi="Times New Roman"/>
              </w:rPr>
              <w:t xml:space="preserve">Khả năng tái sử dụng</w:t>
            </w:r>
          </w:p>
        </w:tc>
        <w:tc>
          <w:tcPr>
            <w:shd w:fill="FAFAFA"/>
          </w:tcPr>
          <w:p>
            <w:pPr>
              <w:spacing w:before="60" w:after="60"/>
            </w:pPr>
            <w:r>
              <w:rPr>
                <w:color w:val="000000"/>
                <w:sz w:val="22"/>
                <w:szCs w:val="22"/>
                <w:rFonts w:ascii="Times New Roman" w:cs="Times New Roman" w:eastAsia="Times New Roman" w:hAnsi="Times New Roman"/>
              </w:rPr>
              <w:t xml:space="preserve">Bằng 0 do logic bị dính chặt bên trong vòng lặp CLI</w:t>
            </w:r>
          </w:p>
        </w:tc>
        <w:tc>
          <w:tcPr>
            <w:shd w:fill="FAFAFA"/>
          </w:tcPr>
          <w:p>
            <w:pPr>
              <w:spacing w:before="60" w:after="60"/>
            </w:pPr>
            <w:r>
              <w:rPr>
                <w:color w:val="000000"/>
                <w:sz w:val="22"/>
                <w:szCs w:val="22"/>
                <w:rFonts w:ascii="Times New Roman" w:cs="Times New Roman" w:eastAsia="Times New Roman" w:hAnsi="Times New Roman"/>
              </w:rPr>
              <w:t xml:space="preserve">Rất cao, các hàm độc lập có thể dùng chung cho Web API hoặc GUI</w:t>
            </w:r>
          </w:p>
        </w:tc>
      </w:tr>
      <w:tr>
        <w:tc>
          <w:tcPr>
            <w:shd w:fill="FFFFFF"/>
          </w:tcPr>
          <w:p>
            <w:pPr>
              <w:spacing w:before="60" w:after="60"/>
            </w:pPr>
            <w:r>
              <w:rPr>
                <w:color w:val="000000"/>
                <w:sz w:val="22"/>
                <w:szCs w:val="22"/>
                <w:rFonts w:ascii="Times New Roman" w:cs="Times New Roman" w:eastAsia="Times New Roman" w:hAnsi="Times New Roman"/>
              </w:rPr>
              <w:t xml:space="preserve">Khả năng viết Unit Test</w:t>
            </w:r>
          </w:p>
        </w:tc>
        <w:tc>
          <w:tcPr>
            <w:shd w:fill="FFFFFF"/>
          </w:tcPr>
          <w:p>
            <w:pPr>
              <w:spacing w:before="60" w:after="60"/>
            </w:pPr>
            <w:r>
              <w:rPr>
                <w:color w:val="000000"/>
                <w:sz w:val="22"/>
                <w:szCs w:val="22"/>
                <w:rFonts w:ascii="Times New Roman" w:cs="Times New Roman" w:eastAsia="Times New Roman" w:hAnsi="Times New Roman"/>
              </w:rPr>
              <w:t xml:space="preserve">Không thể kiểm thử từng chức năng một cách độc lập</w:t>
            </w:r>
          </w:p>
        </w:tc>
        <w:tc>
          <w:tcPr>
            <w:shd w:fill="FFFFFF"/>
          </w:tcPr>
          <w:p>
            <w:pPr>
              <w:spacing w:before="60" w:after="60"/>
            </w:pPr>
            <w:r>
              <w:rPr>
                <w:color w:val="000000"/>
                <w:sz w:val="22"/>
                <w:szCs w:val="22"/>
                <w:rFonts w:ascii="Times New Roman" w:cs="Times New Roman" w:eastAsia="Times New Roman" w:hAnsi="Times New Roman"/>
              </w:rPr>
              <w:t xml:space="preserve">Rất dễ dàng viết Unit Test cho từng hàm riêng biệt</w:t>
            </w:r>
          </w:p>
        </w:tc>
      </w:tr>
      <w:tr>
        <w:tc>
          <w:tcPr>
            <w:shd w:fill="FAFAFA"/>
          </w:tcPr>
          <w:p>
            <w:pPr>
              <w:spacing w:before="60" w:after="60"/>
            </w:pPr>
            <w:r>
              <w:rPr>
                <w:color w:val="000000"/>
                <w:sz w:val="22"/>
                <w:szCs w:val="22"/>
                <w:rFonts w:ascii="Times New Roman" w:cs="Times New Roman" w:eastAsia="Times New Roman" w:hAnsi="Times New Roman"/>
              </w:rPr>
              <w:t xml:space="preserve">Nguyên lý SRP</w:t>
            </w:r>
          </w:p>
        </w:tc>
        <w:tc>
          <w:tcPr>
            <w:shd w:fill="FAFAFA"/>
          </w:tcPr>
          <w:p>
            <w:pPr>
              <w:spacing w:before="60" w:after="60"/>
            </w:pPr>
            <w:r>
              <w:rPr>
                <w:color w:val="000000"/>
                <w:sz w:val="22"/>
                <w:szCs w:val="22"/>
                <w:rFonts w:ascii="Times New Roman" w:cs="Times New Roman" w:eastAsia="Times New Roman" w:hAnsi="Times New Roman"/>
              </w:rPr>
              <w:t xml:space="preserve">Vi phạm nghiêm trọng, một khối switch ôm đồm mọi việc</w:t>
            </w:r>
          </w:p>
        </w:tc>
        <w:tc>
          <w:tcPr>
            <w:shd w:fill="FAFAFA"/>
          </w:tcPr>
          <w:p>
            <w:pPr>
              <w:spacing w:before="60" w:after="60"/>
            </w:pPr>
            <w:r>
              <w:rPr>
                <w:color w:val="000000"/>
                <w:sz w:val="22"/>
                <w:szCs w:val="22"/>
                <w:rFonts w:ascii="Times New Roman" w:cs="Times New Roman" w:eastAsia="Times New Roman" w:hAnsi="Times New Roman"/>
              </w:rPr>
              <w:t xml:space="preserve">Tuân thủ tuyệt đối, mỗi hàm chỉ chịu trách nhiệm đúng một việc duy nhất</w:t>
            </w:r>
          </w:p>
        </w:tc>
      </w:tr>
      <w:tr>
        <w:tc>
          <w:tcPr>
            <w:shd w:fill="FFFFFF"/>
          </w:tcPr>
          <w:p>
            <w:pPr>
              <w:spacing w:before="60" w:after="60"/>
            </w:pPr>
            <w:r>
              <w:rPr>
                <w:color w:val="000000"/>
                <w:sz w:val="22"/>
                <w:szCs w:val="22"/>
                <w:rFonts w:ascii="Times New Roman" w:cs="Times New Roman" w:eastAsia="Times New Roman" w:hAnsi="Times New Roman"/>
              </w:rPr>
              <w:t xml:space="preserve">Độ khó khi scale lên 20 chức năng</w:t>
            </w:r>
          </w:p>
        </w:tc>
        <w:tc>
          <w:tcPr>
            <w:shd w:fill="FFFFFF"/>
          </w:tcPr>
          <w:p>
            <w:pPr>
              <w:spacing w:before="60" w:after="60"/>
            </w:pPr>
            <w:r>
              <w:rPr>
                <w:color w:val="000000"/>
                <w:sz w:val="22"/>
                <w:szCs w:val="22"/>
                <w:rFonts w:ascii="Times New Roman" w:cs="Times New Roman" w:eastAsia="Times New Roman" w:hAnsi="Times New Roman"/>
              </w:rPr>
              <w:t xml:space="preserve">Cực kỳ cao, dễ gây lỗi cú pháp và xung đột biến cục bộ</w:t>
            </w:r>
          </w:p>
        </w:tc>
        <w:tc>
          <w:tcPr>
            <w:shd w:fill="FFFFFF"/>
          </w:tcPr>
          <w:p>
            <w:pPr>
              <w:spacing w:before="60" w:after="60"/>
            </w:pPr>
            <w:r>
              <w:rPr>
                <w:color w:val="000000"/>
                <w:sz w:val="22"/>
                <w:szCs w:val="22"/>
                <w:rFonts w:ascii="Times New Roman" w:cs="Times New Roman" w:eastAsia="Times New Roman" w:hAnsi="Times New Roman"/>
              </w:rPr>
              <w:t xml:space="preserve">Thấp, chỉ cần import thêm module hàm mới vào switch router</w:t>
            </w:r>
          </w:p>
        </w:tc>
      </w:tr>
    </w:tbl>
    <w:p>
      <w:pPr>
        <w:spacing w:after="160"/>
      </w:pPr>
    </w:p>
    <w:p>
      <w:pPr>
        <w:spacing w:before="240" w:after="120"/>
      </w:pPr>
      <w:r>
        <w:rPr>
          <w:b/>
          <w:bCs/>
          <w:color w:val="000000"/>
          <w:sz w:val="26"/>
          <w:szCs w:val="26"/>
          <w:rFonts w:ascii="Times New Roman" w:cs="Times New Roman" w:eastAsia="Times New Roman" w:hAnsi="Times New Roman"/>
        </w:rPr>
        <w:t xml:space="preserve">3. Giải pháp bóc tách mã nguồn và áp dụng nguyên lý SRP</w:t>
      </w:r>
    </w:p>
    <w:p>
      <w:pPr>
        <w:spacing w:after="120" w:line="276"/>
      </w:pPr>
      <w:r>
        <w:rPr>
          <w:color w:val="000000"/>
          <w:sz w:val="24"/>
          <w:szCs w:val="24"/>
          <w:rFonts w:ascii="Times New Roman" w:cs="Times New Roman" w:eastAsia="Times New Roman" w:hAnsi="Times New Roman"/>
        </w:rPr>
        <w:t xml:space="preserve">Để khắc phục tình trạng 'God Switch-Case' trong mã nguồn cũ, chúng ta tiến hành bóc tách toàn bộ phần xử lý nghiệp vụ bên trong từng case ra thành các hàm riêng biệt (Modular Functions).</w:t>
      </w:r>
    </w:p>
    <w:p>
      <w:pPr>
        <w:spacing w:after="120" w:line="276"/>
      </w:pPr>
      <w:r>
        <w:rPr>
          <w:color w:val="000000"/>
          <w:sz w:val="24"/>
          <w:szCs w:val="24"/>
          <w:rFonts w:ascii="Times New Roman" w:cs="Times New Roman" w:eastAsia="Times New Roman" w:hAnsi="Times New Roman"/>
        </w:rPr>
        <w:t xml:space="preserve">Mỗi hàm sẽ nhận tham số đầu vào rõ ràng, xử lý logic nghiệp vụ và trả về kết quả (hoặc thao tác với cơ sở dữ liệu giả định). Khối switch-case lúc này chỉ đóng vai trò là Router điều hướng đơn thuần.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mã nguồn file 'solution_ex10.js' tuân thủ chuẩn CommonJS hoặc ES Modules.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Dễ dàng bàn giao từng module tính năng cho các thành viên khác trong nhóm phát triển.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Giảm thiểu tối đa lỗi scope biến (biến cục bộ bị lẫn lộn giữa các case trong switch).</w:t>
      </w:r>
    </w:p>
    <w:p>
      <w:pPr>
        <w:spacing w:before="240" w:after="120"/>
      </w:pPr>
      <w:r>
        <w:rPr>
          <w:b/>
          <w:bCs/>
          <w:color w:val="000000"/>
          <w:sz w:val="26"/>
          <w:szCs w:val="26"/>
          <w:rFonts w:ascii="Times New Roman" w:cs="Times New Roman" w:eastAsia="Times New Roman" w:hAnsi="Times New Roman"/>
        </w:rPr>
        <w:t xml:space="preserve">4. Đánh giá kết quả và Hướng dẫn nộp bài</w:t>
      </w:r>
    </w:p>
    <w:p>
      <w:pPr>
        <w:spacing w:after="120" w:line="276"/>
      </w:pPr>
      <w:r>
        <w:rPr>
          <w:color w:val="000000"/>
          <w:sz w:val="24"/>
          <w:szCs w:val="24"/>
          <w:rFonts w:ascii="Times New Roman" w:cs="Times New Roman" w:eastAsia="Times New Roman" w:hAnsi="Times New Roman"/>
        </w:rPr>
        <w:t xml:space="preserve">Việc chuyển đổi sang kiến trúc mô-đun hóa không chỉ giúp mã nguồn sáng sủa hơn mà còn là nền tảng bắt buộc để xây dựng các ứng dụng JavaScript chuyên nghiệp quy mô lớn.</w:t>
      </w:r>
    </w:p>
    <w:p>
      <w:pPr>
        <w:spacing w:after="120" w:line="276"/>
      </w:pPr>
      <w:r>
        <w:rPr>
          <w:color w:val="000000"/>
          <w:sz w:val="24"/>
          <w:szCs w:val="24"/>
          <w:rFonts w:ascii="Times New Roman" w:cs="Times New Roman" w:eastAsia="Times New Roman" w:hAnsi="Times New Roman"/>
        </w:rPr>
        <w:t xml:space="preserve">Mã nguồn hoàn chỉnh đã được đặt tên đúng chuẩn 'solution_ex10.js' và sẵn sàng nộp lên hệ thống LMS cũng như đẩy lên GitHub Organization.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2026-10-14T04:52:25.877Z</dcterms:created>
  <dcterms:modified xsi:type="dcterms:W3CDTF">2026-10-14T04:52:25.877Z</dcterms:modified>
</cp:coreProperties>
</file>

<file path=docProps/custom.xml><?xml version="1.0" encoding="utf-8"?>
<Properties xmlns="http://schemas.openxmlformats.org/officeDocument/2006/custom-properties" xmlns:vt="http://schemas.openxmlformats.org/officeDocument/2006/docPropsVTypes"/>
</file>