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Ngữ cảnh bài toán</w:t>
      </w:r>
    </w:p>
    <w:p>
      <w:pPr>
        <w:spacing w:after="120" w:line="276"/>
      </w:pPr>
      <w:r>
        <w:rPr>
          <w:color w:val="000000"/>
          <w:sz w:val="24"/>
          <w:szCs w:val="24"/>
          <w:rFonts w:ascii="Times New Roman" w:cs="Times New Roman" w:eastAsia="Times New Roman" w:hAnsi="Times New Roman"/>
        </w:rPr>
        <w:t xml:space="preserve">Bài tập yêu cầu xây dựng module điều phối hậu cần cho phòng gym, thực hiện hai nhiệm vụ chính là cấp phát tủ đồ tự động dựa trên phân hạng hội viên và xử lý chuỗi nhật ký mượn vật tư phát sinh.</w:t>
      </w:r>
    </w:p>
    <w:p>
      <w:pPr>
        <w:spacing w:after="120" w:line="276"/>
      </w:pPr>
      <w:r>
        <w:rPr>
          <w:color w:val="000000"/>
          <w:sz w:val="24"/>
          <w:szCs w:val="24"/>
          <w:rFonts w:ascii="Times New Roman" w:cs="Times New Roman" w:eastAsia="Times New Roman" w:hAnsi="Times New Roman"/>
        </w:rPr>
        <w:t xml:space="preserve">Toàn bộ logic được viết thuần bằng Javascript, tập trung rèn luyện kỹ năng thao tác với chuỗi (string manipulation) sử dụng vòng lặp kết hợp phương thức .indexOf() và .slice(), đồng thời ứng dụng Template Literals và String Padding để định dạng hóa đơn chuyên nghiệp.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Hội viên VIP: Được cấp phát tủ ở khu vực ZONE-A (gần phòng tắm) và miễn phí 1 khăn tắm lớn.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Hội viên Standard: Được cấp phát tủ ở khu vực ZONE-B và tính phí toàn bộ vật tư mượn thêm.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Đơn giá vật tư: Khăn tắm = 20.000 VNĐ/chiếc, Khóa tủ phụ = 15.000 VNĐ/chiếc.</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Tiền đặt cọc: Cố định 50.000 VNĐ cho mỗi lần mượn vật tư, sẽ được hoàn trả khi hội viên trả lại đồ.</w:t>
      </w:r>
    </w:p>
    <w:p>
      <w:pPr>
        <w:spacing w:before="240" w:after="120"/>
      </w:pPr>
      <w:r>
        <w:rPr>
          <w:b/>
          <w:bCs/>
          <w:color w:val="000000"/>
          <w:sz w:val="26"/>
          <w:szCs w:val="26"/>
          <w:rFonts w:ascii="Times New Roman" w:cs="Times New Roman" w:eastAsia="Times New Roman" w:hAnsi="Times New Roman"/>
        </w:rPr>
        <w:t xml:space="preserve">2. Phân tích Quy tắc Nghiệp vụ và Bẫy Dữ liệu</w:t>
      </w:r>
    </w:p>
    <w:p>
      <w:pPr>
        <w:spacing w:after="120" w:line="276"/>
      </w:pPr>
      <w:r>
        <w:rPr>
          <w:color w:val="000000"/>
          <w:sz w:val="24"/>
          <w:szCs w:val="24"/>
          <w:rFonts w:ascii="Times New Roman" w:cs="Times New Roman" w:eastAsia="Times New Roman" w:hAnsi="Times New Roman"/>
        </w:rPr>
        <w:t xml:space="preserve">Trong quá trình xây dựng mã nguồn, tôi đã chú ý xử lý các trường hợp ngoại lệ (Edge Cases) để hệ thống hoạt động ổn định, tránh sai sót khi nhân viên thao tác nhanh tại quầy lễ tân.</w:t>
      </w:r>
    </w:p>
    <w:p>
      <w:pPr>
        <w:spacing w:after="120" w:line="276"/>
      </w:pPr>
      <w:r>
        <w:rPr>
          <w:color w:val="000000"/>
          <w:sz w:val="24"/>
          <w:szCs w:val="24"/>
          <w:rFonts w:ascii="Times New Roman" w:cs="Times New Roman" w:eastAsia="Times New Roman" w:hAnsi="Times New Roman"/>
        </w:rPr>
        <w:t xml:space="preserve">Chuỗi nhật ký mượn vật tư có định dạng 'TOWEL:2|LOCK:1' đòi hỏi thuật toán cắt chuỗi chính xác dựa trên ký tự phân tách phân đoạn '|' và dấu hai chấm ':' để lấy mã vật tư và số lượng.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Xác thực thẻ: Hệ thống bắt buộc phải kiểm tra trạng thái thẻ hội viên trước khi tiến hành phân bổ tủ đồ.</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Xử lý chuỗi an toàn: Kiểm tra sự tồn tại của ký tự phân tách để tránh lỗi trả về NaN khi tính tiền phụ phí.</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Định dạng bảng in: Sử dụng hàm padEnd() hoặc padStart() để canh lề các cột trên Console, đảm bảo tính thẩm mỹ của phiếu bàn giao.</w:t>
      </w:r>
    </w:p>
    <w:p>
      <w:pPr>
        <w:spacing w:before="240" w:after="120"/>
      </w:pPr>
      <w:r>
        <w:rPr>
          <w:b/>
          <w:bCs/>
          <w:color w:val="000000"/>
          <w:sz w:val="26"/>
          <w:szCs w:val="26"/>
          <w:rFonts w:ascii="Times New Roman" w:cs="Times New Roman" w:eastAsia="Times New Roman" w:hAnsi="Times New Roman"/>
        </w:rPr>
        <w:t xml:space="preserve">3. Bảng đặc tả chi tiết quy trình nghiệp vụ</w:t>
      </w:r>
    </w:p>
    <w:p>
      <w:pPr>
        <w:spacing w:after="120" w:line="276"/>
      </w:pPr>
      <w:r>
        <w:rPr>
          <w:color w:val="000000"/>
          <w:sz w:val="24"/>
          <w:szCs w:val="24"/>
          <w:rFonts w:ascii="Times New Roman" w:cs="Times New Roman" w:eastAsia="Times New Roman" w:hAnsi="Times New Roman"/>
        </w:rPr>
        <w:t xml:space="preserve">Dưới đây là bảng mô tả chi tiết từng bước thực thi trong module quản lý tủ đồ và vật tư: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Bước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Tác nhân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Hành động kỹ thuật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 Trạng thái</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Lễ tân / Hệ thống</w:t>
            </w:r>
          </w:p>
        </w:tc>
        <w:tc>
          <w:tcPr>
            <w:shd w:fill="FFFFFF"/>
          </w:tcPr>
          <w:p>
            <w:pPr>
              <w:spacing w:before="60" w:after="60"/>
            </w:pPr>
            <w:r>
              <w:rPr>
                <w:color w:val="000000"/>
                <w:sz w:val="22"/>
                <w:szCs w:val="22"/>
                <w:rFonts w:ascii="Times New Roman" w:cs="Times New Roman" w:eastAsia="Times New Roman" w:hAnsi="Times New Roman"/>
              </w:rPr>
              <w:t xml:space="preserve">Nhập mã thẻ hội viên để quét xác thực</w:t>
            </w:r>
          </w:p>
        </w:tc>
        <w:tc>
          <w:tcPr>
            <w:shd w:fill="FFFFFF"/>
          </w:tcPr>
          <w:p>
            <w:pPr>
              <w:spacing w:before="60" w:after="60"/>
            </w:pPr>
            <w:r>
              <w:rPr>
                <w:color w:val="000000"/>
                <w:sz w:val="22"/>
                <w:szCs w:val="22"/>
                <w:rFonts w:ascii="Times New Roman" w:cs="Times New Roman" w:eastAsia="Times New Roman" w:hAnsi="Times New Roman"/>
              </w:rPr>
              <w:t xml:space="preserve">Kiểm tra tính hợp lệ trong cơ sở dữ liệu</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Hệ thống</w:t>
            </w:r>
          </w:p>
        </w:tc>
        <w:tc>
          <w:tcPr>
            <w:shd w:fill="FAFAFA"/>
          </w:tcPr>
          <w:p>
            <w:pPr>
              <w:spacing w:before="60" w:after="60"/>
            </w:pPr>
            <w:r>
              <w:rPr>
                <w:color w:val="000000"/>
                <w:sz w:val="22"/>
                <w:szCs w:val="22"/>
                <w:rFonts w:ascii="Times New Roman" w:cs="Times New Roman" w:eastAsia="Times New Roman" w:hAnsi="Times New Roman"/>
              </w:rPr>
              <w:t xml:space="preserve">Đọc phân hạng hội viên (VIP hoặc Standard)</w:t>
            </w:r>
          </w:p>
        </w:tc>
        <w:tc>
          <w:tcPr>
            <w:shd w:fill="FAFAFA"/>
          </w:tcPr>
          <w:p>
            <w:pPr>
              <w:spacing w:before="60" w:after="60"/>
            </w:pPr>
            <w:r>
              <w:rPr>
                <w:color w:val="000000"/>
                <w:sz w:val="22"/>
                <w:szCs w:val="22"/>
                <w:rFonts w:ascii="Times New Roman" w:cs="Times New Roman" w:eastAsia="Times New Roman" w:hAnsi="Times New Roman"/>
              </w:rPr>
              <w:t xml:space="preserve">Xác định khu vực tủ ZONE-A hoặc ZONE-B</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Hệ thống</w:t>
            </w:r>
          </w:p>
        </w:tc>
        <w:tc>
          <w:tcPr>
            <w:shd w:fill="FFFFFF"/>
          </w:tcPr>
          <w:p>
            <w:pPr>
              <w:spacing w:before="60" w:after="60"/>
            </w:pPr>
            <w:r>
              <w:rPr>
                <w:color w:val="000000"/>
                <w:sz w:val="22"/>
                <w:szCs w:val="22"/>
                <w:rFonts w:ascii="Times New Roman" w:cs="Times New Roman" w:eastAsia="Times New Roman" w:hAnsi="Times New Roman"/>
              </w:rPr>
              <w:t xml:space="preserve">Nhận chuỗi mượn vật tư ('TOWEL:2|LOCK:1')</w:t>
            </w:r>
          </w:p>
        </w:tc>
        <w:tc>
          <w:tcPr>
            <w:shd w:fill="FFFFFF"/>
          </w:tcPr>
          <w:p>
            <w:pPr>
              <w:spacing w:before="60" w:after="60"/>
            </w:pPr>
            <w:r>
              <w:rPr>
                <w:color w:val="000000"/>
                <w:sz w:val="22"/>
                <w:szCs w:val="22"/>
                <w:rFonts w:ascii="Times New Roman" w:cs="Times New Roman" w:eastAsia="Times New Roman" w:hAnsi="Times New Roman"/>
              </w:rPr>
              <w:t xml:space="preserve">Chuẩn bị dữ liệu để bóc tách bằng vòng lặp</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Thuật toán JS</w:t>
            </w:r>
          </w:p>
        </w:tc>
        <w:tc>
          <w:tcPr>
            <w:shd w:fill="FAFAFA"/>
          </w:tcPr>
          <w:p>
            <w:pPr>
              <w:spacing w:before="60" w:after="60"/>
            </w:pPr>
            <w:r>
              <w:rPr>
                <w:color w:val="000000"/>
                <w:sz w:val="22"/>
                <w:szCs w:val="22"/>
                <w:rFonts w:ascii="Times New Roman" w:cs="Times New Roman" w:eastAsia="Times New Roman" w:hAnsi="Times New Roman"/>
              </w:rPr>
              <w:t xml:space="preserve">Dùng .indexOf() và .slice() cắt chuỗi từng mục</w:t>
            </w:r>
          </w:p>
        </w:tc>
        <w:tc>
          <w:tcPr>
            <w:shd w:fill="FAFAFA"/>
          </w:tcPr>
          <w:p>
            <w:pPr>
              <w:spacing w:before="60" w:after="60"/>
            </w:pPr>
            <w:r>
              <w:rPr>
                <w:color w:val="000000"/>
                <w:sz w:val="22"/>
                <w:szCs w:val="22"/>
                <w:rFonts w:ascii="Times New Roman" w:cs="Times New Roman" w:eastAsia="Times New Roman" w:hAnsi="Times New Roman"/>
              </w:rPr>
              <w:t xml:space="preserve">Lấy chính xác mã vật tư và số lượng tương ứng</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Hệ thống</w:t>
            </w:r>
          </w:p>
        </w:tc>
        <w:tc>
          <w:tcPr>
            <w:shd w:fill="FFFFFF"/>
          </w:tcPr>
          <w:p>
            <w:pPr>
              <w:spacing w:before="60" w:after="60"/>
            </w:pPr>
            <w:r>
              <w:rPr>
                <w:color w:val="000000"/>
                <w:sz w:val="22"/>
                <w:szCs w:val="22"/>
                <w:rFonts w:ascii="Times New Roman" w:cs="Times New Roman" w:eastAsia="Times New Roman" w:hAnsi="Times New Roman"/>
              </w:rPr>
              <w:t xml:space="preserve">Tính toán phụ phí dựa trên đơn giá và tiền cọc</w:t>
            </w:r>
          </w:p>
        </w:tc>
        <w:tc>
          <w:tcPr>
            <w:shd w:fill="FFFFFF"/>
          </w:tcPr>
          <w:p>
            <w:pPr>
              <w:spacing w:before="60" w:after="60"/>
            </w:pPr>
            <w:r>
              <w:rPr>
                <w:color w:val="000000"/>
                <w:sz w:val="22"/>
                <w:szCs w:val="22"/>
                <w:rFonts w:ascii="Times New Roman" w:cs="Times New Roman" w:eastAsia="Times New Roman" w:hAnsi="Times New Roman"/>
              </w:rPr>
              <w:t xml:space="preserve">Cộng dồn tổng tiền hội viên cần thanh toán</w:t>
            </w:r>
          </w:p>
        </w:tc>
      </w:tr>
      <w:tr>
        <w:tc>
          <w:tcPr>
            <w:shd w:fill="FAFAFA"/>
          </w:tcPr>
          <w:p>
            <w:pPr>
              <w:spacing w:before="60" w:after="60"/>
            </w:pPr>
            <w:r>
              <w:rPr>
                <w:color w:val="000000"/>
                <w:sz w:val="22"/>
                <w:szCs w:val="22"/>
                <w:rFonts w:ascii="Times New Roman" w:cs="Times New Roman" w:eastAsia="Times New Roman" w:hAnsi="Times New Roman"/>
              </w:rPr>
              <w:t xml:space="preserve">6</w:t>
            </w:r>
          </w:p>
        </w:tc>
        <w:tc>
          <w:tcPr>
            <w:shd w:fill="FAFAFA"/>
          </w:tcPr>
          <w:p>
            <w:pPr>
              <w:spacing w:before="60" w:after="60"/>
            </w:pPr>
            <w:r>
              <w:rPr>
                <w:color w:val="000000"/>
                <w:sz w:val="22"/>
                <w:szCs w:val="22"/>
                <w:rFonts w:ascii="Times New Roman" w:cs="Times New Roman" w:eastAsia="Times New Roman" w:hAnsi="Times New Roman"/>
              </w:rPr>
              <w:t xml:space="preserve">Hệ thống</w:t>
            </w:r>
          </w:p>
        </w:tc>
        <w:tc>
          <w:tcPr>
            <w:shd w:fill="FAFAFA"/>
          </w:tcPr>
          <w:p>
            <w:pPr>
              <w:spacing w:before="60" w:after="60"/>
            </w:pPr>
            <w:r>
              <w:rPr>
                <w:color w:val="000000"/>
                <w:sz w:val="22"/>
                <w:szCs w:val="22"/>
                <w:rFonts w:ascii="Times New Roman" w:cs="Times New Roman" w:eastAsia="Times New Roman" w:hAnsi="Times New Roman"/>
              </w:rPr>
              <w:t xml:space="preserve">In phiếu bàn giao ra Console</w:t>
            </w:r>
          </w:p>
        </w:tc>
        <w:tc>
          <w:tcPr>
            <w:shd w:fill="FAFAFA"/>
          </w:tcPr>
          <w:p>
            <w:pPr>
              <w:spacing w:before="60" w:after="60"/>
            </w:pPr>
            <w:r>
              <w:rPr>
                <w:color w:val="000000"/>
                <w:sz w:val="22"/>
                <w:szCs w:val="22"/>
                <w:rFonts w:ascii="Times New Roman" w:cs="Times New Roman" w:eastAsia="Times New Roman" w:hAnsi="Times New Roman"/>
              </w:rPr>
              <w:t xml:space="preserve">Sử dụng Template Literals và padding canh lề chuyên nghiệp</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Hướng dẫn sử dụng Mã nguồn</w:t>
      </w:r>
    </w:p>
    <w:p>
      <w:pPr>
        <w:spacing w:after="120" w:line="276"/>
      </w:pPr>
      <w:r>
        <w:rPr>
          <w:color w:val="000000"/>
          <w:sz w:val="24"/>
          <w:szCs w:val="24"/>
          <w:rFonts w:ascii="Times New Roman" w:cs="Times New Roman" w:eastAsia="Times New Roman" w:hAnsi="Times New Roman"/>
        </w:rPr>
        <w:t xml:space="preserve">Mã nguồn được lưu tại file 'practice_gym_lockers.js' trong thư mục gốc của repository.</w:t>
      </w:r>
    </w:p>
    <w:p>
      <w:pPr>
        <w:spacing w:after="120" w:line="276"/>
      </w:pPr>
      <w:r>
        <w:rPr>
          <w:color w:val="000000"/>
          <w:sz w:val="24"/>
          <w:szCs w:val="24"/>
          <w:rFonts w:ascii="Times New Roman" w:cs="Times New Roman" w:eastAsia="Times New Roman" w:hAnsi="Times New Roman"/>
        </w:rPr>
        <w:t xml:space="preserve">Để chạy thử nghiệm, bạn có thể sử dụng môi trường Node.js trên terminal với câu lệnh 'node practice_gym_lockers.js' và tương tác qua menu điều khiển dòng lệnh.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2026-10-14T03:58:41.065Z</dcterms:created>
  <dcterms:modified xsi:type="dcterms:W3CDTF">2026-10-14T03:58:41.065Z</dcterms:modified>
</cp:coreProperties>
</file>

<file path=docProps/custom.xml><?xml version="1.0" encoding="utf-8"?>
<Properties xmlns="http://schemas.openxmlformats.org/officeDocument/2006/custom-properties" xmlns:vt="http://schemas.openxmlformats.org/officeDocument/2006/docPropsVTypes"/>
</file>