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Trong quá trình phát triển ứng dụng quản lý khách sạn (PMS), việc thao tác với các đối tượng dữ liệu (Object) diễn ra liên tục. Tuy nhiên, việc sử dụng tùy tiện hoặc nhầm lẫn giữa Dot Notation (obj.prop) và Bracket Notation (obj['prop']) thường dẫn đến các lỗi ngầm như 'undefined' hoặc 'SyntaxError' rất khó debug.</w:t>
      </w:r>
    </w:p>
    <w:p>
      <w:pPr>
        <w:spacing w:after="120" w:line="276"/>
      </w:pPr>
      <w:r>
        <w:rPr>
          <w:color w:val="000000"/>
          <w:sz w:val="24"/>
          <w:szCs w:val="24"/>
          <w:rFonts w:ascii="Times New Roman" w:cs="Times New Roman" w:eastAsia="Times New Roman" w:hAnsi="Times New Roman"/>
        </w:rPr>
        <w:t xml:space="preserve">Tài liệu kỹ thuật này thực hiện phân tích trade-off chuyên sâu, thiết lập bảng đối chiếu chuẩn mực và đưa ra các quy tắc Clean Code nhằm chuẩn hóa mã nguồn cho toàn bộ đội ngũ phát triển.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Làm rõ bản chất kỹ thuật và phạm vi ứng dụng của hai cơ chế truy xuất đối tượng trong JavaScript.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Xây dựng quy tắc Clean Code cụ thể cho từng trường hợp nghiệp vụ trong hệ thống PMS.</w:t>
      </w:r>
    </w:p>
    <w:p>
      <w:pPr>
        <w:spacing w:before="240" w:after="120"/>
      </w:pPr>
      <w:r>
        <w:rPr>
          <w:b/>
          <w:bCs/>
          <w:color w:val="000000"/>
          <w:sz w:val="26"/>
          <w:szCs w:val="26"/>
          <w:rFonts w:ascii="Times New Roman" w:cs="Times New Roman" w:eastAsia="Times New Roman" w:hAnsi="Times New Roman"/>
        </w:rPr>
        <w:t xml:space="preserve">2. Phân tích Bảng đối chiếu Trade-off Kỹ thuật</w:t>
      </w:r>
    </w:p>
    <w:p>
      <w:pPr>
        <w:spacing w:after="120" w:line="276"/>
      </w:pPr>
      <w:r>
        <w:rPr>
          <w:color w:val="000000"/>
          <w:sz w:val="24"/>
          <w:szCs w:val="24"/>
          <w:rFonts w:ascii="Times New Roman" w:cs="Times New Roman" w:eastAsia="Times New Roman" w:hAnsi="Times New Roman"/>
        </w:rPr>
        <w:t xml:space="preserve">Dựa trên các thử nghiệm thực tế trên môi trường V8 Engine, dưới đây là bảng tổng hợp các tiêu chí đánh giá trade-off giữa Dot Notation và Bracket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chuẩn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Dot Notation (obj.prop)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Bracket Notation (obj[expr])</w:t>
            </w:r>
          </w:p>
        </w:tc>
      </w:tr>
      <w:tr>
        <w:tc>
          <w:tcPr>
            <w:shd w:fill="FFFFFF"/>
          </w:tcPr>
          <w:p>
            <w:pPr>
              <w:spacing w:before="60" w:after="60"/>
            </w:pPr>
            <w:r>
              <w:rPr>
                <w:color w:val="000000"/>
                <w:sz w:val="22"/>
                <w:szCs w:val="22"/>
                <w:rFonts w:ascii="Times New Roman" w:cs="Times New Roman" w:eastAsia="Times New Roman" w:hAnsi="Times New Roman"/>
              </w:rPr>
              <w:t xml:space="preserve">Tính thuận tiện &amp; Thẩm mỹ</w:t>
            </w:r>
          </w:p>
        </w:tc>
        <w:tc>
          <w:tcPr>
            <w:shd w:fill="FFFFFF"/>
          </w:tcPr>
          <w:p>
            <w:pPr>
              <w:spacing w:before="60" w:after="60"/>
            </w:pPr>
            <w:r>
              <w:rPr>
                <w:color w:val="000000"/>
                <w:sz w:val="22"/>
                <w:szCs w:val="22"/>
                <w:rFonts w:ascii="Times New Roman" w:cs="Times New Roman" w:eastAsia="Times New Roman" w:hAnsi="Times New Roman"/>
              </w:rPr>
              <w:t xml:space="preserve">Ngắn gọn, trực quan, hỗ trợ IDE Autocomplete tốt</w:t>
            </w:r>
          </w:p>
        </w:tc>
        <w:tc>
          <w:tcPr>
            <w:shd w:fill="FFFFFF"/>
          </w:tcPr>
          <w:p>
            <w:pPr>
              <w:spacing w:before="60" w:after="60"/>
            </w:pPr>
            <w:r>
              <w:rPr>
                <w:color w:val="000000"/>
                <w:sz w:val="22"/>
                <w:szCs w:val="22"/>
                <w:rFonts w:ascii="Times New Roman" w:cs="Times New Roman" w:eastAsia="Times New Roman" w:hAnsi="Times New Roman"/>
              </w:rPr>
              <w:t xml:space="preserve">Dài hơn, cần dấu ngoặc vuông và nháy</w:t>
            </w:r>
          </w:p>
        </w:tc>
      </w:tr>
      <w:tr>
        <w:tc>
          <w:tcPr>
            <w:shd w:fill="FAFAFA"/>
          </w:tcPr>
          <w:p>
            <w:pPr>
              <w:spacing w:before="60" w:after="60"/>
            </w:pPr>
            <w:r>
              <w:rPr>
                <w:color w:val="000000"/>
                <w:sz w:val="22"/>
                <w:szCs w:val="22"/>
                <w:rFonts w:ascii="Times New Roman" w:cs="Times New Roman" w:eastAsia="Times New Roman" w:hAnsi="Times New Roman"/>
              </w:rPr>
              <w:t xml:space="preserve">Truy cập qua biến động</w:t>
            </w:r>
          </w:p>
        </w:tc>
        <w:tc>
          <w:tcPr>
            <w:shd w:fill="FAFAFA"/>
          </w:tcPr>
          <w:p>
            <w:pPr>
              <w:spacing w:before="60" w:after="60"/>
            </w:pPr>
            <w:r>
              <w:rPr>
                <w:color w:val="000000"/>
                <w:sz w:val="22"/>
                <w:szCs w:val="22"/>
                <w:rFonts w:ascii="Times New Roman" w:cs="Times New Roman" w:eastAsia="Times New Roman" w:hAnsi="Times New Roman"/>
              </w:rPr>
              <w:t xml:space="preserve">Không hỗ trợ (chỉ tìm chuỗi cố định)</w:t>
            </w:r>
          </w:p>
        </w:tc>
        <w:tc>
          <w:tcPr>
            <w:shd w:fill="FAFAFA"/>
          </w:tcPr>
          <w:p>
            <w:pPr>
              <w:spacing w:before="60" w:after="60"/>
            </w:pPr>
            <w:r>
              <w:rPr>
                <w:color w:val="000000"/>
                <w:sz w:val="22"/>
                <w:szCs w:val="22"/>
                <w:rFonts w:ascii="Times New Roman" w:cs="Times New Roman" w:eastAsia="Times New Roman" w:hAnsi="Times New Roman"/>
              </w:rPr>
              <w:t xml:space="preserve">Rất mạnh (đánh giá mọi biểu thức JS)</w:t>
            </w:r>
          </w:p>
        </w:tc>
      </w:tr>
      <w:tr>
        <w:tc>
          <w:tcPr>
            <w:shd w:fill="FFFFFF"/>
          </w:tcPr>
          <w:p>
            <w:pPr>
              <w:spacing w:before="60" w:after="60"/>
            </w:pPr>
            <w:r>
              <w:rPr>
                <w:color w:val="000000"/>
                <w:sz w:val="22"/>
                <w:szCs w:val="22"/>
                <w:rFonts w:ascii="Times New Roman" w:cs="Times New Roman" w:eastAsia="Times New Roman" w:hAnsi="Times New Roman"/>
              </w:rPr>
              <w:t xml:space="preserve">Tên key có ký tự đặc biệt</w:t>
            </w:r>
          </w:p>
        </w:tc>
        <w:tc>
          <w:tcPr>
            <w:shd w:fill="FFFFFF"/>
          </w:tcPr>
          <w:p>
            <w:pPr>
              <w:spacing w:before="60" w:after="60"/>
            </w:pPr>
            <w:r>
              <w:rPr>
                <w:color w:val="000000"/>
                <w:sz w:val="22"/>
                <w:szCs w:val="22"/>
                <w:rFonts w:ascii="Times New Roman" w:cs="Times New Roman" w:eastAsia="Times New Roman" w:hAnsi="Times New Roman"/>
              </w:rPr>
              <w:t xml:space="preserve">Lỗi cú pháp (Ví dụ: obj.check-in, obj.123)</w:t>
            </w:r>
          </w:p>
        </w:tc>
        <w:tc>
          <w:tcPr>
            <w:shd w:fill="FFFFFF"/>
          </w:tcPr>
          <w:p>
            <w:pPr>
              <w:spacing w:before="60" w:after="60"/>
            </w:pPr>
            <w:r>
              <w:rPr>
                <w:color w:val="000000"/>
                <w:sz w:val="22"/>
                <w:szCs w:val="22"/>
                <w:rFonts w:ascii="Times New Roman" w:cs="Times New Roman" w:eastAsia="Times New Roman" w:hAnsi="Times New Roman"/>
              </w:rPr>
              <w:t xml:space="preserve">Hỗ trợ trọn vẹn (Ví dụ: obj['check-in'], obj['123'])</w:t>
            </w:r>
          </w:p>
        </w:tc>
      </w:tr>
      <w:tr>
        <w:tc>
          <w:tcPr>
            <w:shd w:fill="FAFAFA"/>
          </w:tcPr>
          <w:p>
            <w:pPr>
              <w:spacing w:before="60" w:after="60"/>
            </w:pPr>
            <w:r>
              <w:rPr>
                <w:color w:val="000000"/>
                <w:sz w:val="22"/>
                <w:szCs w:val="22"/>
                <w:rFonts w:ascii="Times New Roman" w:cs="Times New Roman" w:eastAsia="Times New Roman" w:hAnsi="Times New Roman"/>
              </w:rPr>
              <w:t xml:space="preserve">Khuyến nghị sử dụng</w:t>
            </w:r>
          </w:p>
        </w:tc>
        <w:tc>
          <w:tcPr>
            <w:shd w:fill="FAFAFA"/>
          </w:tcPr>
          <w:p>
            <w:pPr>
              <w:spacing w:before="60" w:after="60"/>
            </w:pPr>
            <w:r>
              <w:rPr>
                <w:color w:val="000000"/>
                <w:sz w:val="22"/>
                <w:szCs w:val="22"/>
                <w:rFonts w:ascii="Times New Roman" w:cs="Times New Roman" w:eastAsia="Times New Roman" w:hAnsi="Times New Roman"/>
              </w:rPr>
              <w:t xml:space="preserve">Dùng mặc định cho các thuộc tính tĩnh</w:t>
            </w:r>
          </w:p>
        </w:tc>
        <w:tc>
          <w:tcPr>
            <w:shd w:fill="FAFAFA"/>
          </w:tcPr>
          <w:p>
            <w:pPr>
              <w:spacing w:before="60" w:after="60"/>
            </w:pPr>
            <w:r>
              <w:rPr>
                <w:color w:val="000000"/>
                <w:sz w:val="22"/>
                <w:szCs w:val="22"/>
                <w:rFonts w:ascii="Times New Roman" w:cs="Times New Roman" w:eastAsia="Times New Roman" w:hAnsi="Times New Roman"/>
              </w:rPr>
              <w:t xml:space="preserve">Bắt buộc dùng cho biến động và dynamic key</w:t>
            </w:r>
          </w:p>
        </w:tc>
      </w:tr>
    </w:tbl>
    <w:p>
      <w:pPr>
        <w:spacing w:after="160"/>
      </w:pPr>
    </w:p>
    <w:p>
      <w:pPr>
        <w:spacing w:before="240" w:after="120"/>
      </w:pPr>
      <w:r>
        <w:rPr>
          <w:b/>
          <w:bCs/>
          <w:color w:val="000000"/>
          <w:sz w:val="26"/>
          <w:szCs w:val="26"/>
          <w:rFonts w:ascii="Times New Roman" w:cs="Times New Roman" w:eastAsia="Times New Roman" w:hAnsi="Times New Roman"/>
        </w:rPr>
        <w:t xml:space="preserve">3. Quy tắc nghiệp vụ và Xử lý Bẫy dữ liệu</w:t>
      </w:r>
    </w:p>
    <w:p>
      <w:pPr>
        <w:spacing w:after="120" w:line="276"/>
      </w:pPr>
      <w:r>
        <w:rPr>
          <w:color w:val="000000"/>
          <w:sz w:val="24"/>
          <w:szCs w:val="24"/>
          <w:rFonts w:ascii="Times New Roman" w:cs="Times New Roman" w:eastAsia="Times New Roman" w:hAnsi="Times New Roman"/>
        </w:rPr>
        <w:t xml:space="preserve">Trong dự án PMS khách sạn, dữ liệu đặt phòng thường chứa các định dạng phức tạp như mã phòng có dấu gạch ngang ('room-101') hoặc các trường thông tin động được trích xuất từ form người dùng. Việc áp dụng sai cú pháp sẽ làm crash ứng dụng ngay lập tức.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1: Luôn sử dụng Bracket Notation khi làm việc với các thuộc tính chứa dấu gạch ngang, dấu cách hoặc bắt đầu bằng số (Ví dụ: 'room-status', 'total price').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2: Tận dụng Bracket Notation để truy xuất thuộc tính thông qua biến động trong các vòng lặp cấu hình động.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dữ liệu: Tuyệt đối không dùng Dot Notation khi tên thuộc tính được lưu trong một biến số (Ví dụ: 'let key = name; obj.key;' sẽ tìm kiếm key mang tên 'key' thay vì giá trị của biến 'name').</w:t>
      </w:r>
    </w:p>
    <w:p>
      <w:pPr>
        <w:spacing w:before="240" w:after="120"/>
      </w:pPr>
      <w:r>
        <w:rPr>
          <w:b/>
          <w:bCs/>
          <w:color w:val="000000"/>
          <w:sz w:val="26"/>
          <w:szCs w:val="26"/>
          <w:rFonts w:ascii="Times New Roman" w:cs="Times New Roman" w:eastAsia="Times New Roman" w:hAnsi="Times New Roman"/>
        </w:rPr>
        <w:t xml:space="preserve">4. Đánh giá sơ đồ thiết kế và Hướng dẫn mở trên Draw.io</w:t>
      </w:r>
    </w:p>
    <w:p>
      <w:pPr>
        <w:spacing w:after="120" w:line="276"/>
      </w:pPr>
      <w:r>
        <w:rPr>
          <w:color w:val="000000"/>
          <w:sz w:val="24"/>
          <w:szCs w:val="24"/>
          <w:rFonts w:ascii="Times New Roman" w:cs="Times New Roman" w:eastAsia="Times New Roman" w:hAnsi="Times New Roman"/>
        </w:rPr>
        <w:t xml:space="preserve">Sơ đồ luồng quyết định (Flowchart) minh họa trực quan quá trình lựa chọn giữa hai cú pháp dựa trên đặc tính của Key.</w:t>
      </w:r>
    </w:p>
    <w:p>
      <w:pPr>
        <w:spacing w:after="120" w:line="276"/>
      </w:pPr>
      <w:r>
        <w:rPr>
          <w:color w:val="000000"/>
          <w:sz w:val="24"/>
          <w:szCs w:val="24"/>
          <w:rFonts w:ascii="Times New Roman" w:cs="Times New Roman" w:eastAsia="Times New Roman" w:hAnsi="Times New Roman"/>
        </w:rPr>
        <w:t xml:space="preserve">Toàn bộ tài liệu và mã nguồn kiểm thử đã được đóng gói chuẩn chỉnh, sẵn sàng nộp lên kho lưu trữ GitHub Organization 'it103b-rl-HoangCongDung'.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2026-10-14T04:27:53.860Z</dcterms:created>
  <dcterms:modified xsi:type="dcterms:W3CDTF">2026-10-14T04:27:53.860Z</dcterms:modified>
</cp:coreProperties>
</file>

<file path=docProps/custom.xml><?xml version="1.0" encoding="utf-8"?>
<Properties xmlns="http://schemas.openxmlformats.org/officeDocument/2006/custom-properties" xmlns:vt="http://schemas.openxmlformats.org/officeDocument/2006/docPropsVTypes"/>
</file>