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CHỌN CÁCH DỰ BÁO PHẠM VI CHO SPRINT 6</w:t>
      </w:r>
    </w:p>
    <w:p>
      <w:pPr>
        <w:spacing w:after="160"/>
        <w:jc w:val="center"/>
      </w:pPr>
      <w:r>
        <w:rPr>
          <w:rFonts w:ascii="Arial" w:cs="Arial" w:eastAsia="Arial" w:hAnsi="Arial"/>
          <w:i/>
          <w:iCs/>
          <w:sz w:val="20"/>
          <w:szCs w:val="20"/>
        </w:rPr>
        <w:t xml:space="preserve">Bài tập phân tích – Agile &amp; Scrum | Vai trò: Lan (Scrum Master)</w:t>
      </w:r>
    </w:p>
    <w:p>
      <w:pPr>
        <w:spacing w:after="100"/>
      </w:pPr>
      <w:r>
        <w:rPr>
          <w:rFonts w:ascii="Arial" w:cs="Arial" w:eastAsia="Arial" w:hAnsi="Arial"/>
          <w:b/>
          <w:bCs/>
          <w:sz w:val="21"/>
          <w:szCs w:val="21"/>
        </w:rPr>
        <w:t xml:space="preserve">Dữ liệu nền: </w:t>
      </w:r>
      <w:r>
        <w:rPr>
          <w:rFonts w:ascii="Arial" w:cs="Arial" w:eastAsia="Arial" w:hAnsi="Arial"/>
          <w:sz w:val="21"/>
          <w:szCs w:val="21"/>
        </w:rPr>
        <w:t xml:space="preserve">Velocity 5 Sprint là 18, 20, 19, 15, 13, trung bình (18 + 20 + 19 + 15 + 13) ÷ 5 = 17 SP, khoảng 13–20 SP. Planning Capacity Sprint 6 là 186 giờ so với 212 giờ của Sprint 5, giảm khoảng 12%. Các PBI đủ rõ để vào Sprint là #1, #3, #4, #5 (tổng 15 SP); PBI #2 (13 SP) chưa đủ Acceptance Criteria nên chưa nên đưa vào.</w:t>
      </w:r>
    </w:p>
    <w:p>
      <w:pPr>
        <w:pStyle w:val="Heading1"/>
        <w:keepNext/>
        <w:spacing w:after="100" w:before="220"/>
      </w:pPr>
      <w:r>
        <w:rPr>
          <w:rFonts w:ascii="Arial" w:cs="Arial" w:eastAsia="Arial" w:hAnsi="Arial"/>
          <w:b/>
          <w:bCs/>
          <w:color w:val="1F3864"/>
          <w:sz w:val="26"/>
          <w:szCs w:val="26"/>
        </w:rPr>
        <w:t xml:space="preserve">Phần 1 – Đề xuất 2 cách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1100"/>
        <w:gridCol w:w="3338"/>
      </w:tblGrid>
      <w:tr>
        <w:trPr>
          <w:tblHeader/>
        </w:trPr>
        <w:tc>
          <w:tcPr>
            <w:tcW w:type="dxa" w:w="2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w:t>
            </w:r>
          </w:p>
        </w:tc>
        <w:tc>
          <w:tcPr>
            <w:tcW w:type="dxa" w:w="3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Bản chất</w:t>
            </w:r>
          </w:p>
        </w:tc>
        <w:tc>
          <w:tcPr>
            <w:tcW w:type="dxa" w:w="1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Dự báo</w:t>
            </w:r>
          </w:p>
        </w:tc>
        <w:tc>
          <w:tcPr>
            <w:tcW w:type="dxa" w:w="33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PBI chọn</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A. Theo Velocity trung bình</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sz w:val="19"/>
                <w:szCs w:val="19"/>
              </w:rPr>
              <w:t xml:space="preserve">Lấy trung bình quá khứ làm con số và chọn PBI theo thứ tự backlog cho đến khi chạm con số đó, bỏ qua PBI chưa đủ rõ.</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sz w:val="19"/>
                <w:szCs w:val="19"/>
              </w:rPr>
              <w:t xml:space="preserve">17 SP</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sz w:val="19"/>
                <w:szCs w:val="19"/>
              </w:rPr>
              <w:t xml:space="preserve">#1 (5) + #3 (3) + #4 (5) + #5 (2) = 15 SP, hết PBI đủ rõ nhưng chưa tới 17.</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 Theo Sprint Goal và Capacity, kiểm tra bằng khoảng Velocity</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sz w:val="19"/>
                <w:szCs w:val="19"/>
              </w:rPr>
              <w:t xml:space="preserve">Chốt Sprint Goal trước, chọn PBI phục vụ Goal rồi đối chiếu với Capacity Sprint 6 và khoảng Velocity 13–20 SP; con số chỉ để kiểm tra, không phải mục tiêu.</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sz w:val="19"/>
                <w:szCs w:val="19"/>
              </w:rPr>
              <w:t xml:space="preserve">13 SP (nửa dưới khoảng 13–20)</w:t>
            </w:r>
          </w:p>
        </w:tc>
        <w:tc>
          <w:tcPr>
            <w:tcW w:type="dxa" w:w="3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sz w:val="19"/>
                <w:szCs w:val="19"/>
              </w:rPr>
              <w:t xml:space="preserve">#1 (5) + #3 (3) + #4 (5) = 13 SP.</w:t>
            </w:r>
          </w:p>
        </w:tc>
      </w:tr>
    </w:tbl>
    <w:p>
      <w:pPr>
        <w:pStyle w:val="Heading1"/>
        <w:keepNext/>
        <w:spacing w:after="100" w:before="220"/>
      </w:pPr>
      <w:r>
        <w:rPr>
          <w:rFonts w:ascii="Arial" w:cs="Arial" w:eastAsia="Arial" w:hAnsi="Arial"/>
          <w:b/>
          <w:bCs/>
          <w:color w:val="1F3864"/>
          <w:sz w:val="26"/>
          <w:szCs w:val="26"/>
        </w:rPr>
        <w:t xml:space="preserve">Phần 2 – So sánh theo 3 tiêu chí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Tiêu chí</w:t>
            </w:r>
          </w:p>
        </w:tc>
        <w:tc>
          <w:tcPr>
            <w:tcW w:type="dxa" w:w="3669"/>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 A (Velocity trung bình)</w:t>
            </w:r>
          </w:p>
        </w:tc>
        <w:tc>
          <w:tcPr>
            <w:tcW w:type="dxa" w:w="3669"/>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 B (Goal và Capacity)</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Phản ánh thay đổi Capacity</w:t>
            </w:r>
          </w:p>
        </w:tc>
        <w:tc>
          <w:tcPr>
            <w:tcW w:type="dxa" w:w="3669"/>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left"/>
            </w:pPr>
            <w:r>
              <w:rPr>
                <w:rFonts w:ascii="Arial" w:cs="Arial" w:eastAsia="Arial" w:hAnsi="Arial"/>
                <w:sz w:val="19"/>
                <w:szCs w:val="19"/>
              </w:rPr>
              <w:t xml:space="preserve">(–) Con số 17 SP là dữ liệu quá khứ, không phản ánh Khoa rời đội, Minh mới đạt khoảng 50% và Hà nghỉ 3 ngày.</w:t>
            </w:r>
          </w:p>
        </w:tc>
        <w:tc>
          <w:tcPr>
            <w:tcW w:type="dxa" w:w="3669"/>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sz w:val="19"/>
                <w:szCs w:val="19"/>
              </w:rPr>
              <w:t xml:space="preserve">(+) Xét trực tiếp Capacity Sprint 6 (186 giờ), nên nhắm nửa dưới của khoảng Velocity mà không nhân máy móc theo phần trăm.</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Bảo vệ Sprint Goal</w:t>
            </w:r>
          </w:p>
        </w:tc>
        <w:tc>
          <w:tcPr>
            <w:tcW w:type="dxa" w:w="3669"/>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left"/>
            </w:pPr>
            <w:r>
              <w:rPr>
                <w:rFonts w:ascii="Arial" w:cs="Arial" w:eastAsia="Arial" w:hAnsi="Arial"/>
                <w:sz w:val="19"/>
                <w:szCs w:val="19"/>
              </w:rPr>
              <w:t xml:space="preserve">(–) Chạy theo con số nên kéo cả PBI #5 giao diện Tết, không phục vụ Goal, vào Sprint để lấp chỗ trống.</w:t>
            </w:r>
          </w:p>
        </w:tc>
        <w:tc>
          <w:tcPr>
            <w:tcW w:type="dxa" w:w="3669"/>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sz w:val="19"/>
                <w:szCs w:val="19"/>
              </w:rPr>
              <w:t xml:space="preserve">(+) Chọn PBI theo Goal trước; chỗ trống không bị lấp bằng việc không phục vụ Goal.</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Dễ giải thích với Product Owner</w:t>
            </w:r>
          </w:p>
        </w:tc>
        <w:tc>
          <w:tcPr>
            <w:tcW w:type="dxa" w:w="3669"/>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sz w:val="19"/>
                <w:szCs w:val="19"/>
              </w:rPr>
              <w:t xml:space="preserve">(+) Chỉ một con số 17 SP, dễ nhớ và dễ trao đổi.</w:t>
            </w:r>
          </w:p>
        </w:tc>
        <w:tc>
          <w:tcPr>
            <w:tcW w:type="dxa" w:w="3669"/>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left"/>
            </w:pPr>
            <w:r>
              <w:rPr>
                <w:rFonts w:ascii="Arial" w:cs="Arial" w:eastAsia="Arial" w:hAnsi="Arial"/>
                <w:sz w:val="19"/>
                <w:szCs w:val="19"/>
              </w:rPr>
              <w:t xml:space="preserve">(–) Phải giải thích nhiều yếu tố (Goal, Capacity, khoảng Velocity) nên phức tạp hơn.</w:t>
            </w:r>
          </w:p>
        </w:tc>
      </w:tr>
    </w:tbl>
    <w:p>
      <w:pPr>
        <w:pStyle w:val="Heading1"/>
        <w:keepNext/>
        <w:spacing w:after="100" w:before="220"/>
      </w:pPr>
      <w:r>
        <w:rPr>
          <w:rFonts w:ascii="Arial" w:cs="Arial" w:eastAsia="Arial" w:hAnsi="Arial"/>
          <w:b/>
          <w:bCs/>
          <w:color w:val="1F3864"/>
          <w:sz w:val="26"/>
          <w:szCs w:val="26"/>
        </w:rPr>
        <w:t xml:space="preserve">Phần 3 – Lựa chọn</w:t>
      </w:r>
    </w:p>
    <w:p>
      <w:pPr>
        <w:spacing w:after="100"/>
      </w:pPr>
      <w:r>
        <w:rPr>
          <w:rFonts w:ascii="Arial" w:cs="Arial" w:eastAsia="Arial" w:hAnsi="Arial"/>
          <w:b/>
          <w:bCs/>
          <w:sz w:val="21"/>
          <w:szCs w:val="21"/>
        </w:rPr>
        <w:t xml:space="preserve">Chọn Cách B, </w:t>
      </w:r>
      <w:r>
        <w:rPr>
          <w:rFonts w:ascii="Arial" w:cs="Arial" w:eastAsia="Arial" w:hAnsi="Arial"/>
          <w:sz w:val="21"/>
          <w:szCs w:val="21"/>
        </w:rPr>
        <w:t xml:space="preserve">vì Capacity Sprint 6 giảm rõ rệt và Sprint Goal của Đức cần được bảo vệ; ưu điểm “dễ giải thích” của Cách A không đủ bù hai nhược điểm quan trọng hơn.</w:t>
      </w:r>
    </w:p>
    <w:p>
      <w:pPr>
        <w:spacing w:after="100"/>
      </w:pPr>
      <w:r>
        <w:rPr>
          <w:rFonts w:ascii="Arial" w:cs="Arial" w:eastAsia="Arial" w:hAnsi="Arial"/>
          <w:b/>
          <w:bCs/>
          <w:sz w:val="21"/>
          <w:szCs w:val="21"/>
        </w:rPr>
        <w:t xml:space="preserve">Sprint Goal: </w:t>
      </w:r>
      <w:r>
        <w:rPr>
          <w:rFonts w:ascii="Arial" w:cs="Arial" w:eastAsia="Arial" w:hAnsi="Arial"/>
          <w:sz w:val="21"/>
          <w:szCs w:val="21"/>
        </w:rPr>
        <w:t xml:space="preserve">Khách chủ động hơn khi chờ tài xế: đặt xe theo giờ mình chọn, được báo khi tài xế sắp đến và trao đổi được với tài xế.</w:t>
      </w:r>
    </w:p>
    <w:p>
      <w:pPr>
        <w:keepNext/>
        <w:spacing w:after="60" w:before="140"/>
      </w:pPr>
      <w:r>
        <w:rPr>
          <w:rFonts w:ascii="Arial" w:cs="Arial" w:eastAsia="Arial" w:hAnsi="Arial"/>
          <w:b/>
          <w:bCs/>
          <w:color w:val="2E5597"/>
          <w:sz w:val="22"/>
          <w:szCs w:val="22"/>
        </w:rPr>
        <w:t xml:space="preserve">PBI vào Sprint 6 (13 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700"/>
        <w:gridCol w:w="52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w:t>
            </w:r>
          </w:p>
        </w:tc>
        <w:tc>
          <w:tcPr>
            <w:tcW w:type="dxa" w:w="3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PBI</w:t>
            </w:r>
          </w:p>
        </w:tc>
        <w:tc>
          <w:tcPr>
            <w:tcW w:type="dxa" w:w="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SP</w:t>
            </w:r>
          </w:p>
        </w:tc>
        <w:tc>
          <w:tcPr>
            <w:tcW w:type="dxa" w:w="52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Lý do chọn</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1</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Hẹn giờ đặt xe trước</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5</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Khách chủ động chọn giờ đón thay vì chờ xe tại chỗ; có Acceptance Criteria đầy đủ và được Đức xếp đầu.</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3</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Gửi SMS khi tài xế sắp đến</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Báo cho khách khi tài xế sắp đến; hợp đồng SMS đã ký nên không còn phụ thuộc bên ngoài.</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4</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Chat với tài xế</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5</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Khách trao đổi trực tiếp với tài xế khi chờ; có Acceptance Criteria đầy đủ.</w:t>
            </w:r>
          </w:p>
        </w:tc>
      </w:tr>
      <w:tr>
        <w:trPr>
          <w:cantSplit/>
        </w:trPr>
        <w:tc>
          <w:tcPr>
            <w:tcW w:type="dxa" w:w="500"/>
            <w:tcBorders>
              <w:top w:val="single" w:color="808080" w:sz="4"/>
              <w:left w:val="single" w:color="808080" w:sz="4"/>
              <w:bottom w:val="single" w:color="808080" w:sz="4"/>
              <w:right w:val="single" w:color="808080" w:sz="4"/>
            </w:tcBorders>
            <w:shd w:fill="DDE6F3" w:color="auto"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3200"/>
            <w:tcBorders>
              <w:top w:val="single" w:color="808080" w:sz="4"/>
              <w:left w:val="single" w:color="808080" w:sz="4"/>
              <w:bottom w:val="single" w:color="808080" w:sz="4"/>
              <w:right w:val="single" w:color="808080" w:sz="4"/>
            </w:tcBorders>
            <w:shd w:fill="DDE6F3" w:color="auto" w:val="clear"/>
            <w:tcMar>
              <w:top w:type="dxa" w:w="70"/>
              <w:left w:type="dxa" w:w="100"/>
              <w:bottom w:type="dxa" w:w="70"/>
              <w:right w:type="dxa" w:w="100"/>
            </w:tcMar>
          </w:tcPr>
          <w:p>
            <w:pPr>
              <w:jc w:val="left"/>
            </w:pPr>
            <w:r>
              <w:rPr>
                <w:rFonts w:ascii="Arial" w:cs="Arial" w:eastAsia="Arial" w:hAnsi="Arial"/>
                <w:b/>
                <w:bCs/>
                <w:sz w:val="19"/>
                <w:szCs w:val="19"/>
              </w:rPr>
              <w:t xml:space="preserve">Tổng</w:t>
            </w:r>
          </w:p>
        </w:tc>
        <w:tc>
          <w:tcPr>
            <w:tcW w:type="dxa" w:w="700"/>
            <w:tcBorders>
              <w:top w:val="single" w:color="808080" w:sz="4"/>
              <w:left w:val="single" w:color="808080" w:sz="4"/>
              <w:bottom w:val="single" w:color="808080" w:sz="4"/>
              <w:right w:val="single" w:color="808080" w:sz="4"/>
            </w:tcBorders>
            <w:shd w:fill="DDE6F3" w:color="auto" w:val="clear"/>
            <w:tcMar>
              <w:top w:type="dxa" w:w="70"/>
              <w:left w:type="dxa" w:w="100"/>
              <w:bottom w:type="dxa" w:w="70"/>
              <w:right w:type="dxa" w:w="100"/>
            </w:tcMar>
          </w:tcPr>
          <w:p>
            <w:pPr>
              <w:jc w:val="center"/>
            </w:pPr>
            <w:r>
              <w:rPr>
                <w:rFonts w:ascii="Arial" w:cs="Arial" w:eastAsia="Arial" w:hAnsi="Arial"/>
                <w:b/>
                <w:bCs/>
                <w:sz w:val="19"/>
                <w:szCs w:val="19"/>
              </w:rPr>
              <w:t xml:space="preserve">13</w:t>
            </w:r>
          </w:p>
        </w:tc>
        <w:tc>
          <w:tcPr>
            <w:tcW w:type="dxa" w:w="5238"/>
            <w:tcBorders>
              <w:top w:val="single" w:color="808080" w:sz="4"/>
              <w:left w:val="single" w:color="808080" w:sz="4"/>
              <w:bottom w:val="single" w:color="808080" w:sz="4"/>
              <w:right w:val="single" w:color="808080" w:sz="4"/>
            </w:tcBorders>
            <w:shd w:fill="DDE6F3" w:color="auto" w:val="clear"/>
            <w:tcMar>
              <w:top w:type="dxa" w:w="70"/>
              <w:left w:type="dxa" w:w="100"/>
              <w:bottom w:type="dxa" w:w="70"/>
              <w:right w:type="dxa" w:w="100"/>
            </w:tcMar>
          </w:tcPr>
          <w:p>
            <w:pPr>
              <w:jc w:val="left"/>
            </w:pPr>
            <w:r>
              <w:rPr>
                <w:rFonts w:ascii="Arial" w:cs="Arial" w:eastAsia="Arial" w:hAnsi="Arial"/>
                <w:b/>
                <w:bCs/>
                <w:sz w:val="19"/>
                <w:szCs w:val="19"/>
              </w:rPr>
              <w:t xml:space="preserve">Nằm trong khoảng 13–20 SP, ở nửa dưới theo Capacity giảm.</w:t>
            </w:r>
          </w:p>
        </w:tc>
      </w:tr>
    </w:tbl>
    <w:p>
      <w:pPr>
        <w:spacing w:after="40"/>
      </w:pPr>
      <w:r>
        <w:rPr>
          <w:rFonts w:ascii="Arial" w:cs="Arial" w:eastAsia="Arial" w:hAnsi="Arial"/>
          <w:sz w:val="21"/>
          <w:szCs w:val="21"/>
        </w:rPr>
        <w:t xml:space="preserve"/>
      </w:r>
    </w:p>
    <w:p>
      <w:pPr>
        <w:keepNext/>
        <w:spacing w:after="60" w:before="140"/>
      </w:pPr>
      <w:r>
        <w:rPr>
          <w:rFonts w:ascii="Arial" w:cs="Arial" w:eastAsia="Arial" w:hAnsi="Arial"/>
          <w:b/>
          <w:bCs/>
          <w:color w:val="2E5597"/>
          <w:sz w:val="22"/>
          <w:szCs w:val="22"/>
        </w:rPr>
        <w:t xml:space="preserve">PBI không chọn</w:t>
      </w:r>
    </w:p>
    <w:p>
      <w:pPr>
        <w:pStyle w:val="ListParagraph"/>
        <w:numPr>
          <w:ilvl w:val="0"/>
          <w:numId w:val="2"/>
        </w:numPr>
        <w:spacing w:after="90"/>
      </w:pPr>
      <w:r>
        <w:rPr>
          <w:rFonts w:ascii="Arial" w:cs="Arial" w:eastAsia="Arial" w:hAnsi="Arial"/>
          <w:b/>
          <w:bCs/>
          <w:sz w:val="21"/>
          <w:szCs w:val="21"/>
        </w:rPr>
        <w:t xml:space="preserve">PBI #2 – Theo dõi vị trí tài xế (13 SP): </w:t>
      </w:r>
      <w:r>
        <w:rPr>
          <w:rFonts w:ascii="Arial" w:cs="Arial" w:eastAsia="Arial" w:hAnsi="Arial"/>
          <w:sz w:val="21"/>
          <w:szCs w:val="21"/>
        </w:rPr>
        <w:t xml:space="preserve">rất lớn và chưa có Acceptance Criteria cho trường hợp mất tín hiệu GPS nên chưa đủ rõ để vào Sprint; nên được làm mịn và tách nhỏ trước.</w:t>
      </w:r>
    </w:p>
    <w:p>
      <w:pPr>
        <w:pStyle w:val="ListParagraph"/>
        <w:numPr>
          <w:ilvl w:val="0"/>
          <w:numId w:val="2"/>
        </w:numPr>
        <w:spacing w:after="90"/>
      </w:pPr>
      <w:r>
        <w:rPr>
          <w:rFonts w:ascii="Arial" w:cs="Arial" w:eastAsia="Arial" w:hAnsi="Arial"/>
          <w:b/>
          <w:bCs/>
          <w:sz w:val="21"/>
          <w:szCs w:val="21"/>
        </w:rPr>
        <w:t xml:space="preserve">PBI #5 – Giao diện chủ đề Tết (2 SP): </w:t>
      </w:r>
      <w:r>
        <w:rPr>
          <w:rFonts w:ascii="Arial" w:cs="Arial" w:eastAsia="Arial" w:hAnsi="Arial"/>
          <w:sz w:val="21"/>
          <w:szCs w:val="21"/>
        </w:rPr>
        <w:t xml:space="preserve">không phục vụ Sprint Goal nên không dùng để lấp chỗ trống; có thể nhận thêm nếu đội xong sớm.</w:t>
      </w:r>
    </w:p>
    <w:p>
      <w:pPr>
        <w:keepNext/>
        <w:spacing w:after="60" w:before="140"/>
      </w:pPr>
      <w:r>
        <w:rPr>
          <w:rFonts w:ascii="Arial" w:cs="Arial" w:eastAsia="Arial" w:hAnsi="Arial"/>
          <w:b/>
          <w:bCs/>
          <w:color w:val="2E5597"/>
          <w:sz w:val="22"/>
          <w:szCs w:val="22"/>
        </w:rPr>
        <w:t xml:space="preserve">Phản hồi đề nghị 20 SP của quản lý</w:t>
      </w:r>
    </w:p>
    <w:p>
      <w:pPr>
        <w:spacing w:after="100"/>
      </w:pPr>
      <w:r>
        <w:rPr>
          <w:rFonts w:ascii="Arial" w:cs="Arial" w:eastAsia="Arial" w:hAnsi="Arial"/>
          <w:sz w:val="21"/>
          <w:szCs w:val="21"/>
        </w:rPr>
        <w:t xml:space="preserve">Velocity là dữ liệu quá khứ để đội dự báo, không phải chỉ tiêu phải tăng. Mức 20 SP vẫn nằm trong khoảng cũ nhưng là cận trên, đạt được khi Capacity đầy đủ; Sprint 6 có Capacity giảm khoảng 12% và chỉ có 15 SP PBI đủ rõ, nên muốn đạt 20 SP phải đưa PBI 13 SP chưa đủ Acceptance Criteria vào. Đội dự báo 13 SP gắn với một Sprint Goal rõ ràng, và nếu còn năng lực thì sẽ nhận thêm PBI đủ rõ, vì chỉ PBI Done mới được tính vào Velocity.</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2026-10-10T07:00:18.717Z</dcterms:created>
  <dcterms:modified xsi:type="dcterms:W3CDTF">2026-10-10T07:00:18.725Z</dcterms:modified>
</cp:coreProperties>
</file>

<file path=docProps/custom.xml><?xml version="1.0" encoding="utf-8"?>
<Properties xmlns="http://schemas.openxmlformats.org/officeDocument/2006/custom-properties" xmlns:vt="http://schemas.openxmlformats.org/officeDocument/2006/docPropsVTypes"/>
</file>