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1F3864"/>
          <w:sz w:val="26"/>
          <w:szCs w:val="26"/>
        </w:rPr>
        <w:t xml:space="preserve">Faculty of Computing</w:t>
      </w:r>
    </w:p>
    <w:p>
      <w:pPr>
        <w:spacing w:after="400"/>
        <w:jc w:val="center"/>
      </w:pPr>
      <w:r>
        <w:rPr>
          <w:rFonts w:ascii="Calibri" w:cs="Calibri" w:eastAsia="Calibri" w:hAnsi="Calibri"/>
          <w:color w:val="595959"/>
          <w:sz w:val="22"/>
          <w:szCs w:val="22"/>
        </w:rPr>
        <w:t xml:space="preserve">Year 2, Semester 1 (2026)</w:t>
      </w:r>
    </w:p>
    <w:p>
      <w:pPr>
        <w:spacing w:after="100"/>
        <w:jc w:val="center"/>
      </w:pPr>
      <w:r>
        <w:rPr>
          <w:rFonts w:ascii="Calibri" w:cs="Calibri" w:eastAsia="Calibri" w:hAnsi="Calibri"/>
          <w:b/>
          <w:bCs/>
          <w:sz w:val="24"/>
          <w:szCs w:val="24"/>
        </w:rPr>
        <w:t xml:space="preserve">IT2011 — Artificial Intelligence and Machine Learning</w:t>
      </w:r>
    </w:p>
    <w:p>
      <w:pPr>
        <w:pBdr>
          <w:bottom w:val="single" w:color="1F3864" w:sz="8" w:space="8"/>
        </w:pBdr>
        <w:spacing w:after="60"/>
        <w:jc w:val="center"/>
      </w:pPr>
      <w:r>
        <w:rPr>
          <w:rFonts w:ascii="Calibri" w:cs="Calibri" w:eastAsia="Calibri" w:hAnsi="Calibri"/>
          <w:b/>
          <w:bCs/>
          <w:color w:val="1F3864"/>
          <w:sz w:val="34"/>
          <w:szCs w:val="34"/>
        </w:rPr>
        <w:t xml:space="preserve">Final Evaluation — Model Design, Implementation and Evaluation</w:t>
      </w:r>
    </w:p>
    <w:p>
      <w:pPr>
        <w:spacing w:after="500" w:before="260"/>
        <w:jc w:val="center"/>
      </w:pPr>
      <w:r>
        <w:rPr>
          <w:rFonts w:ascii="Calibri" w:cs="Calibri" w:eastAsia="Calibri" w:hAnsi="Calibri"/>
          <w:i/>
          <w:iCs/>
          <w:color w:val="595959"/>
          <w:sz w:val="24"/>
          <w:szCs w:val="24"/>
        </w:rPr>
        <w:t xml:space="preserve">Optical Character Recognition — UCI Letter Recognition Dataset</w:t>
      </w:r>
    </w:p>
    <w:p>
      <w:pPr>
        <w:spacing w:after="300"/>
        <w:jc w:val="center"/>
      </w:pPr>
      <w:r>
        <w:rPr>
          <w:rFonts w:ascii="Calibri" w:cs="Calibri" w:eastAsia="Calibri" w:hAnsi="Calibri"/>
          <w:b/>
          <w:bCs/>
          <w:sz w:val="24"/>
          <w:szCs w:val="24"/>
        </w:rPr>
        <w:t xml:space="preserve">Group ID: 2026-Y2-S1-MLB-B11G2-05</w:t>
      </w:r>
    </w:p>
    <w:tbl>
      <w:tblPr>
        <w:tblW w:type="dxa" w:w="9480"/>
        <w:tblBorders>
          <w:top w:val="single" w:color="8EA9DB" w:sz="4"/>
          <w:left w:val="single" w:color="8EA9DB" w:sz="4"/>
          <w:bottom w:val="single" w:color="8EA9DB" w:sz="4"/>
          <w:right w:val="single" w:color="8EA9DB" w:sz="4"/>
          <w:insideH w:val="single" w:color="B4C6E7" w:sz="2"/>
          <w:insideV w:val="single" w:color="B4C6E7" w:sz="2"/>
        </w:tblBorders>
      </w:tblPr>
      <w:tblGrid>
        <w:gridCol w:w="2500"/>
        <w:gridCol w:w="1400"/>
        <w:gridCol w:w="3000"/>
        <w:gridCol w:w="2580"/>
      </w:tblGrid>
      <w:tr>
        <w:trPr>
          <w:cantSplit/>
          <w:tblHeader/>
        </w:trPr>
        <w:tc>
          <w:tcPr>
            <w:tcW w:type="dxa" w:w="2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Member</w:t>
            </w:r>
          </w:p>
        </w:tc>
        <w:tc>
          <w:tcPr>
            <w:tcW w:type="dxa" w:w="14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Index No.</w:t>
            </w:r>
          </w:p>
        </w:tc>
        <w:tc>
          <w:tcPr>
            <w:tcW w:type="dxa" w:w="30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Preprocessing Technique (Review I)</w:t>
            </w:r>
          </w:p>
        </w:tc>
        <w:tc>
          <w:tcPr>
            <w:tcW w:type="dxa" w:w="258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Model (Final Evaluation)</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Nirushiya A.</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IT25100513</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Duplicate detection &amp; removal</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Support Vector Machine</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Thrishodaran V.</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IT25102227</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Outlier detection &amp; capping</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Decision Tree</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Wijayagunasekara L.A.V.D.S.</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IT25100064</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Encoding categorical variables</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Logistic Regression</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Almeida K.K.O.</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IT25103191</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Normalization / scaling</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K-Means Clustering</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Danishiyan G.J.</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IT25101436</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Feature engineering</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Principal Component Analysis (PCA) → KNN</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Muhunthan R.</w:t>
            </w:r>
          </w:p>
        </w:tc>
        <w:tc>
          <w:tcPr>
            <w:tcW w:type="dxa" w:w="1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IT25102618</w:t>
            </w:r>
          </w:p>
        </w:tc>
        <w:tc>
          <w:tcPr>
            <w:tcW w:type="dxa" w:w="3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Feature selection &amp; reduction</w:t>
            </w:r>
          </w:p>
        </w:tc>
        <w:tc>
          <w:tcPr>
            <w:tcW w:type="dxa" w:w="25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Multi-Layer Perceptron</w:t>
            </w:r>
          </w:p>
        </w:tc>
      </w:tr>
    </w:tbl>
    <w:p>
      <w:r>
        <w:br w:type="page"/>
      </w:r>
    </w:p>
    <w:p>
      <w:pPr>
        <w:pStyle w:val="Heading1"/>
        <w:keepNext/>
        <w:spacing w:after="160" w:before="320"/>
      </w:pPr>
      <w:r>
        <w:rPr>
          <w:rFonts w:ascii="Calibri" w:cs="Calibri" w:eastAsia="Calibri" w:hAnsi="Calibri"/>
          <w:b/>
          <w:bCs/>
          <w:color w:val="1F3864"/>
          <w:sz w:val="28"/>
          <w:szCs w:val="28"/>
        </w:rPr>
        <w:t xml:space="preserve">1.  Introduction and Problem Statement</w:t>
      </w:r>
    </w:p>
    <w:p>
      <w:pPr>
        <w:keepNext w:val="false"/>
        <w:spacing w:after="140" w:line="276"/>
        <w:jc w:val="both"/>
      </w:pPr>
      <w:r>
        <w:rPr>
          <w:rFonts w:ascii="Calibri" w:cs="Calibri" w:eastAsia="Calibri" w:hAnsi="Calibri"/>
          <w:sz w:val="22"/>
          <w:szCs w:val="22"/>
        </w:rPr>
        <w:t xml:space="preserve">This report documents the final modelling and evaluation phase of the group project for IT2011 — Artificial Intelligence and Machine Learning. It builds directly on the preprocessing and exploratory data analysis completed in Progress Review I, reusing the processed dataset that pipeline produced.</w:t>
      </w:r>
    </w:p>
    <w:p>
      <w:pPr>
        <w:keepNext w:val="false"/>
        <w:spacing w:after="140" w:line="276"/>
        <w:jc w:val="both"/>
      </w:pPr>
      <w:r>
        <w:rPr>
          <w:rFonts w:ascii="Calibri" w:cs="Calibri" w:eastAsia="Calibri" w:hAnsi="Calibri"/>
          <w:sz w:val="22"/>
          <w:szCs w:val="22"/>
        </w:rPr>
        <w:t xml:space="preserve">The problem addressed is Optical Character Recognition (OCR): given a set of numeric descriptors summarising the shape of a scanned capital letter — statistical moments, edge counts and pixel densities — predict which of the 26 letters of the English alphabet it represents. This is a supervised multi-class classification problem with 26 balanced classes.</w:t>
      </w:r>
    </w:p>
    <w:p>
      <w:pPr>
        <w:keepNext w:val="false"/>
        <w:spacing w:after="140" w:line="276"/>
        <w:jc w:val="both"/>
      </w:pPr>
      <w:r>
        <w:rPr>
          <w:rFonts w:ascii="Calibri" w:cs="Calibri" w:eastAsia="Calibri" w:hAnsi="Calibri"/>
          <w:sz w:val="22"/>
          <w:szCs w:val="22"/>
        </w:rPr>
        <w:t xml:space="preserve">The assessment requires each of the six group members to design, implement, tune and evaluate at least one machine learning model, and for the group collectively to compare the optimum result achieved by each member. The six models span four distinct families — classification, clustering, dimensionality reduction and deep learning — which allows the group to examine the problem from complementary angles rather than simply ranking six variants of the same approach.</w:t>
      </w:r>
    </w:p>
    <w:p>
      <w:pPr>
        <w:pStyle w:val="Heading1"/>
        <w:keepNext/>
        <w:spacing w:after="160" w:before="320"/>
      </w:pPr>
      <w:r>
        <w:rPr>
          <w:rFonts w:ascii="Calibri" w:cs="Calibri" w:eastAsia="Calibri" w:hAnsi="Calibri"/>
          <w:b/>
          <w:bCs/>
          <w:color w:val="1F3864"/>
          <w:sz w:val="28"/>
          <w:szCs w:val="28"/>
        </w:rPr>
        <w:t xml:space="preserve">2.  Dataset Description</w:t>
      </w:r>
    </w:p>
    <w:p>
      <w:pPr>
        <w:keepNext w:val="false"/>
        <w:spacing w:after="140" w:line="276"/>
        <w:jc w:val="both"/>
      </w:pPr>
      <w:r>
        <w:rPr>
          <w:rFonts w:ascii="Calibri" w:cs="Calibri" w:eastAsia="Calibri" w:hAnsi="Calibri"/>
          <w:sz w:val="22"/>
          <w:szCs w:val="22"/>
        </w:rPr>
        <w:t xml:space="preserve">The dataset is the UCI Machine Learning Repository’s Letter Recognition Data Set, donated by David J. Slate of Odesta Corporation in 1991. Each instance describes one capital letter rendered in one of twenty distorted commercial fonts, summarised as sixteen integer attributes scaled to the range 0–15.</w:t>
      </w:r>
    </w:p>
    <w:p>
      <w:pPr>
        <w:pStyle w:val="ListParagraph"/>
        <w:numPr>
          <w:ilvl w:val="0"/>
          <w:numId w:val="2"/>
        </w:numPr>
        <w:spacing w:after="90" w:line="276"/>
        <w:jc w:val="both"/>
      </w:pPr>
      <w:r>
        <w:rPr>
          <w:rFonts w:ascii="Calibri" w:cs="Calibri" w:eastAsia="Calibri" w:hAnsi="Calibri"/>
          <w:sz w:val="22"/>
          <w:szCs w:val="22"/>
        </w:rPr>
        <w:t xml:space="preserve">Instances: 20,000 raw; 18,668 after duplicate removal in Progress Review I.</w:t>
      </w:r>
    </w:p>
    <w:p>
      <w:pPr>
        <w:pStyle w:val="ListParagraph"/>
        <w:numPr>
          <w:ilvl w:val="0"/>
          <w:numId w:val="2"/>
        </w:numPr>
        <w:spacing w:after="90" w:line="276"/>
        <w:jc w:val="both"/>
      </w:pPr>
      <w:r>
        <w:rPr>
          <w:rFonts w:ascii="Calibri" w:cs="Calibri" w:eastAsia="Calibri" w:hAnsi="Calibri"/>
          <w:sz w:val="22"/>
          <w:szCs w:val="22"/>
        </w:rPr>
        <w:t xml:space="preserve">Predictors: 16 original numeric attributes plus 5 engineered features added during preprocessing (box_area, aspect_ratio, pixel_density, edge_ratio and total_variance), giving 21 in total.</w:t>
      </w:r>
    </w:p>
    <w:p>
      <w:pPr>
        <w:pStyle w:val="ListParagraph"/>
        <w:numPr>
          <w:ilvl w:val="0"/>
          <w:numId w:val="2"/>
        </w:numPr>
        <w:spacing w:after="90" w:line="276"/>
        <w:jc w:val="both"/>
      </w:pPr>
      <w:r>
        <w:rPr>
          <w:rFonts w:ascii="Calibri" w:cs="Calibri" w:eastAsia="Calibri" w:hAnsi="Calibri"/>
          <w:sz w:val="22"/>
          <w:szCs w:val="22"/>
        </w:rPr>
        <w:t xml:space="preserve">Target: lettr (A–Z), label-encoded to lettr_encoded (0–25) for use with scikit-learn estimators.</w:t>
      </w:r>
    </w:p>
    <w:p>
      <w:pPr>
        <w:pStyle w:val="ListParagraph"/>
        <w:numPr>
          <w:ilvl w:val="0"/>
          <w:numId w:val="2"/>
        </w:numPr>
        <w:spacing w:after="90" w:line="276"/>
        <w:jc w:val="both"/>
      </w:pPr>
      <w:r>
        <w:rPr>
          <w:rFonts w:ascii="Calibri" w:cs="Calibri" w:eastAsia="Calibri" w:hAnsi="Calibri"/>
          <w:sz w:val="22"/>
          <w:szCs w:val="22"/>
        </w:rPr>
        <w:t xml:space="preserve">Missing values: none — verified directly in code rather than assumed from the documentation.</w:t>
      </w:r>
    </w:p>
    <w:p>
      <w:pPr>
        <w:pStyle w:val="ListParagraph"/>
        <w:numPr>
          <w:ilvl w:val="0"/>
          <w:numId w:val="2"/>
        </w:numPr>
        <w:spacing w:after="90" w:line="276"/>
        <w:jc w:val="both"/>
      </w:pPr>
      <w:r>
        <w:rPr>
          <w:rFonts w:ascii="Calibri" w:cs="Calibri" w:eastAsia="Calibri" w:hAnsi="Calibri"/>
          <w:sz w:val="22"/>
          <w:szCs w:val="22"/>
        </w:rPr>
        <w:t xml:space="preserve">Class balance: near-uniform, with every letter represented by roughly 700–800 instances both before and after cleaning.</w:t>
      </w:r>
    </w:p>
    <w:p>
      <w:pPr>
        <w:keepNext w:val="false"/>
        <w:spacing w:after="200" w:line="276"/>
        <w:jc w:val="both"/>
      </w:pPr>
      <w:r>
        <w:rPr>
          <w:rFonts w:ascii="Calibri" w:cs="Calibri" w:eastAsia="Calibri" w:hAnsi="Calibri"/>
          <w:sz w:val="22"/>
          <w:szCs w:val="22"/>
        </w:rPr>
        <w:t xml:space="preserve">Because the dataset consists entirely of pre-extracted tabular descriptors rather than raw pixel images, every model in this phase treats the task as standard tabular multi-class classification. This is also the reason no convolutional neural network was attempted: a CNN’s convolutional structure depends on spatial neighbourhood relationships that these aggregated descriptors no longer contain.</w:t>
      </w:r>
    </w:p>
    <w:p>
      <w:pPr>
        <w:pStyle w:val="Heading1"/>
        <w:keepNext/>
        <w:spacing w:after="160" w:before="320"/>
      </w:pPr>
      <w:r>
        <w:rPr>
          <w:rFonts w:ascii="Calibri" w:cs="Calibri" w:eastAsia="Calibri" w:hAnsi="Calibri"/>
          <w:b/>
          <w:bCs/>
          <w:color w:val="1F3864"/>
          <w:sz w:val="28"/>
          <w:szCs w:val="28"/>
        </w:rPr>
        <w:t xml:space="preserve">3.  Preprocessing Pipeline Carried Forward</w:t>
      </w:r>
    </w:p>
    <w:p>
      <w:pPr>
        <w:keepNext w:val="false"/>
        <w:spacing w:after="140" w:line="276"/>
        <w:jc w:val="both"/>
      </w:pPr>
      <w:r>
        <w:rPr>
          <w:rFonts w:ascii="Calibri" w:cs="Calibri" w:eastAsia="Calibri" w:hAnsi="Calibri"/>
          <w:sz w:val="22"/>
          <w:szCs w:val="22"/>
        </w:rPr>
        <w:t xml:space="preserve">The six-stage group pipeline developed in Progress Review I produces the single file processed_letter_recognition.csv, which every model in this phase consumes. Reusing one shared dataset is what makes the comparison in Section 6 meaningful.</w:t>
      </w:r>
    </w:p>
    <w:tbl>
      <w:tblPr>
        <w:tblW w:type="dxa" w:w="948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250"/>
        <w:gridCol w:w="2250"/>
        <w:gridCol w:w="4080"/>
      </w:tblGrid>
      <w:tr>
        <w:trPr>
          <w:cantSplit/>
          <w:tblHeader/>
        </w:trPr>
        <w:tc>
          <w:tcPr>
            <w:tcW w:type="dxa" w:w="9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Stage</w:t>
            </w:r>
          </w:p>
        </w:tc>
        <w:tc>
          <w:tcPr>
            <w:tcW w:type="dxa" w:w="225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Technique</w:t>
            </w:r>
          </w:p>
        </w:tc>
        <w:tc>
          <w:tcPr>
            <w:tcW w:type="dxa" w:w="225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Owner</w:t>
            </w:r>
          </w:p>
        </w:tc>
        <w:tc>
          <w:tcPr>
            <w:tcW w:type="dxa" w:w="408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Effect on the data</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1</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Duplicate detection &amp; removal</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Nirushiya A.</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1,332 exact duplicates removed (6.66%); 20,000 → 18,668 rows</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2</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Outlier detection &amp; capping</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Thrishodaran V.</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10,209 extreme values winsorised to IQR bounds; no rows deleted</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3</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Feature engineering</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Danishiyan G.J.</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5 shape/density features derived; 16 → 21 numeric columns</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4</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Encoding the target</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Wijayagunasekara L.A.V.D.S.</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lettr (A–Z) label-encoded to 0–25</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5</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Normalization / scaling</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Almeida K.K.O.</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All 21 numeric columns standardised (mean 0, std 1)</w:t>
            </w:r>
          </w:p>
        </w:tc>
      </w:tr>
      <w:tr>
        <w:trPr>
          <w:cantSplit/>
        </w:trPr>
        <w:tc>
          <w:tcPr>
            <w:tcW w:type="dxa" w:w="9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6</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Feature selection &amp; reduction</w:t>
            </w:r>
          </w:p>
        </w:tc>
        <w:tc>
          <w:tcPr>
            <w:tcW w:type="dxa" w:w="225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Muhunthan R.</w:t>
            </w:r>
          </w:p>
        </w:tc>
        <w:tc>
          <w:tcPr>
            <w:tcW w:type="dxa" w:w="40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ANOVA F-ranking and PCA scree analysis for guidance</w:t>
            </w:r>
          </w:p>
        </w:tc>
      </w:tr>
    </w:tbl>
    <w:p>
      <w:pPr>
        <w:spacing w:after="120"/>
      </w:pPr>
    </w:p>
    <w:p>
      <w:pPr>
        <w:pStyle w:val="Heading2"/>
        <w:keepNext/>
        <w:spacing w:after="120" w:before="240"/>
      </w:pPr>
      <w:r>
        <w:rPr>
          <w:rFonts w:ascii="Calibri" w:cs="Calibri" w:eastAsia="Calibri" w:hAnsi="Calibri"/>
          <w:b/>
          <w:bCs/>
          <w:color w:val="1F3864"/>
          <w:sz w:val="24"/>
          <w:szCs w:val="24"/>
        </w:rPr>
        <w:t xml:space="preserve">3.1  Data-quality correction applied before this phase</w:t>
      </w:r>
    </w:p>
    <w:p>
      <w:pPr>
        <w:keepNext w:val="false"/>
        <w:spacing w:after="140" w:line="276"/>
        <w:jc w:val="both"/>
      </w:pPr>
      <w:r>
        <w:rPr>
          <w:rFonts w:ascii="Calibri" w:cs="Calibri" w:eastAsia="Calibri" w:hAnsi="Calibri"/>
          <w:sz w:val="22"/>
          <w:szCs w:val="22"/>
        </w:rPr>
        <w:t xml:space="preserve">Three of the five engineered features — aspect_ratio, pixel_density and edge_ratio — are ratios, and a small number of rows have a denominator of exactly zero. The initial implementation guarded against this by adding a very small constant before dividing. That approach does not in fact prevent the problem: it converts a division by zero into a division by a near-zero number, producing values in the hundreds of thousands and distorting both the standardisation in Stage 5 and the principal components in Stage 6.</w:t>
      </w:r>
    </w:p>
    <w:p>
      <w:pPr>
        <w:keepNext w:val="false"/>
        <w:spacing w:after="200" w:line="276"/>
        <w:jc w:val="both"/>
      </w:pPr>
      <w:r>
        <w:rPr>
          <w:rFonts w:ascii="Calibri" w:cs="Calibri" w:eastAsia="Calibri" w:hAnsi="Calibri"/>
          <w:sz w:val="22"/>
          <w:szCs w:val="22"/>
        </w:rPr>
        <w:t xml:space="preserve">The defect was identified by inspecting the distribution of the engineered features and corrected by flooring each denominator at one, which bounds every ratio to a sensible range while remaining simple to justify. All results reported in this document were produced on the corrected dataset.</w:t>
      </w:r>
    </w:p>
    <w:p>
      <w:pPr>
        <w:pStyle w:val="Heading1"/>
        <w:keepNext/>
        <w:spacing w:after="160" w:before="320"/>
      </w:pPr>
      <w:r>
        <w:rPr>
          <w:rFonts w:ascii="Calibri" w:cs="Calibri" w:eastAsia="Calibri" w:hAnsi="Calibri"/>
          <w:b/>
          <w:bCs/>
          <w:color w:val="1F3864"/>
          <w:sz w:val="28"/>
          <w:szCs w:val="28"/>
        </w:rPr>
        <w:t xml:space="preserve">4.  Experimental Methodology</w:t>
      </w:r>
    </w:p>
    <w:p>
      <w:pPr>
        <w:keepNext w:val="false"/>
        <w:spacing w:after="140" w:line="276"/>
        <w:jc w:val="both"/>
      </w:pPr>
      <w:r>
        <w:rPr>
          <w:rFonts w:ascii="Calibri" w:cs="Calibri" w:eastAsia="Calibri" w:hAnsi="Calibri"/>
          <w:sz w:val="22"/>
          <w:szCs w:val="22"/>
        </w:rPr>
        <w:t xml:space="preserve">A single, shared experimental protocol was agreed before any model was trained, so that the six sets of results would be comparable rather than merely coexisting in the same report.</w:t>
      </w:r>
    </w:p>
    <w:p>
      <w:pPr>
        <w:pStyle w:val="ListParagraph"/>
        <w:numPr>
          <w:ilvl w:val="0"/>
          <w:numId w:val="2"/>
        </w:numPr>
        <w:spacing w:after="90" w:line="276"/>
        <w:jc w:val="both"/>
      </w:pPr>
      <w:r>
        <w:rPr>
          <w:rFonts w:ascii="Calibri" w:cs="Calibri" w:eastAsia="Calibri" w:hAnsi="Calibri"/>
          <w:sz w:val="22"/>
          <w:szCs w:val="22"/>
        </w:rPr>
        <w:t xml:space="preserve">Identical data: all six models read the same processed_letter_recognition.csv (18,668 rows, 21 standardised features).</w:t>
      </w:r>
    </w:p>
    <w:p>
      <w:pPr>
        <w:pStyle w:val="ListParagraph"/>
        <w:numPr>
          <w:ilvl w:val="0"/>
          <w:numId w:val="2"/>
        </w:numPr>
        <w:spacing w:after="90" w:line="276"/>
        <w:jc w:val="both"/>
      </w:pPr>
      <w:r>
        <w:rPr>
          <w:rFonts w:ascii="Calibri" w:cs="Calibri" w:eastAsia="Calibri" w:hAnsi="Calibri"/>
          <w:sz w:val="22"/>
          <w:szCs w:val="22"/>
        </w:rPr>
        <w:t xml:space="preserve">Identical split: the four classification models and the PCA study use an 80/20 stratified train/test split with random_state = 42, giving 14,934 training and 3,734 test instances. Stratification preserves the near-uniform class balance in both partitions.</w:t>
      </w:r>
    </w:p>
    <w:p>
      <w:pPr>
        <w:pStyle w:val="ListParagraph"/>
        <w:numPr>
          <w:ilvl w:val="0"/>
          <w:numId w:val="2"/>
        </w:numPr>
        <w:spacing w:after="90" w:line="276"/>
        <w:jc w:val="both"/>
      </w:pPr>
      <w:r>
        <w:rPr>
          <w:rFonts w:ascii="Calibri" w:cs="Calibri" w:eastAsia="Calibri" w:hAnsi="Calibri"/>
          <w:sz w:val="22"/>
          <w:szCs w:val="22"/>
        </w:rPr>
        <w:t xml:space="preserve">Identical tuning protocol: each supervised model is tuned with GridSearchCV under 3-fold stratified cross-validation on the training set only; the test set is touched exactly once, for the final evaluation.</w:t>
      </w:r>
    </w:p>
    <w:p>
      <w:pPr>
        <w:pStyle w:val="ListParagraph"/>
        <w:numPr>
          <w:ilvl w:val="0"/>
          <w:numId w:val="2"/>
        </w:numPr>
        <w:spacing w:after="90" w:line="276"/>
        <w:jc w:val="both"/>
      </w:pPr>
      <w:r>
        <w:rPr>
          <w:rFonts w:ascii="Calibri" w:cs="Calibri" w:eastAsia="Calibri" w:hAnsi="Calibri"/>
          <w:sz w:val="22"/>
          <w:szCs w:val="22"/>
        </w:rPr>
        <w:t xml:space="preserve">Clustering exception: K-Means is unsupervised and is therefore fitted on all 18,668 rows with the labels withheld, which are then used solely for external validation.</w:t>
      </w:r>
    </w:p>
    <w:p>
      <w:pPr>
        <w:keepNext w:val="false"/>
        <w:spacing w:after="200" w:line="276"/>
        <w:jc w:val="both"/>
      </w:pPr>
      <w:r>
        <w:rPr>
          <w:rFonts w:ascii="Calibri" w:cs="Calibri" w:eastAsia="Calibri" w:hAnsi="Calibri"/>
          <w:sz w:val="22"/>
          <w:szCs w:val="22"/>
        </w:rPr>
        <w:t xml:space="preserve">Every member additionally trained an untuned baseline before tuning, so that the benefit attributable to hyperparameter search can be stated rather than assumed.</w:t>
      </w:r>
    </w:p>
    <w:p>
      <w:pPr>
        <w:pStyle w:val="Heading1"/>
        <w:keepNext/>
        <w:spacing w:after="160" w:before="320"/>
      </w:pPr>
      <w:r>
        <w:rPr>
          <w:rFonts w:ascii="Calibri" w:cs="Calibri" w:eastAsia="Calibri" w:hAnsi="Calibri"/>
          <w:b/>
          <w:bCs/>
          <w:color w:val="1F3864"/>
          <w:sz w:val="28"/>
          <w:szCs w:val="28"/>
        </w:rPr>
        <w:t xml:space="preserve">5.  Individual Model Implementations</w:t>
      </w:r>
    </w:p>
    <w:p>
      <w:pPr>
        <w:keepNext w:val="false"/>
        <w:spacing w:after="140" w:line="276"/>
        <w:jc w:val="both"/>
      </w:pPr>
      <w:r>
        <w:rPr>
          <w:rFonts w:ascii="Calibri" w:cs="Calibri" w:eastAsia="Calibri" w:hAnsi="Calibri"/>
          <w:sz w:val="22"/>
          <w:szCs w:val="22"/>
        </w:rPr>
        <w:t xml:space="preserve">Complete implementation code, tuning output and figures for each model are provided in the accompanying Jupyter notebooks, one per member plus a group comparison notebook. This section summarises the design rationale, the tuning performed and the outcome for each.</w:t>
      </w:r>
    </w:p>
    <w:p>
      <w:pPr>
        <w:pStyle w:val="Heading2"/>
        <w:keepNext/>
        <w:spacing w:after="120" w:before="240"/>
      </w:pPr>
      <w:r>
        <w:rPr>
          <w:rFonts w:ascii="Calibri" w:cs="Calibri" w:eastAsia="Calibri" w:hAnsi="Calibri"/>
          <w:b/>
          <w:bCs/>
          <w:color w:val="1F3864"/>
          <w:sz w:val="24"/>
          <w:szCs w:val="24"/>
        </w:rPr>
        <w:t xml:space="preserve">5.1  Support Vector Machine — Nirushiya A. (IT25100513)</w:t>
      </w:r>
    </w:p>
    <w:p>
      <w:pPr>
        <w:keepNext w:val="false"/>
        <w:spacing w:after="140" w:line="276"/>
        <w:jc w:val="both"/>
      </w:pPr>
      <w:r>
        <w:rPr>
          <w:rFonts w:ascii="Calibri" w:cs="Calibri" w:eastAsia="Calibri" w:hAnsi="Calibri"/>
          <w:sz w:val="22"/>
          <w:szCs w:val="22"/>
        </w:rPr>
        <w:t xml:space="preserve">An SVM with a radial basis function kernel was selected because the 26 letter classes overlap non-linearly: visually similar glyphs such as I and J, or O and G, occupy neighbouring regions that no straight hyperplane can separate. The kernel maps the data into a higher-dimensional space where such boundaries become tractable, while margin maximisation keeps the model robust at this sample size.</w:t>
      </w:r>
    </w:p>
    <w:p>
      <w:pPr>
        <w:spacing w:after="14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a grid across three kernel families (linear, RBF, polynomial), regularisation strength C, kernel width gamma and polynomial degree. The selected configuration was C = 10, gamma = scale, kernel = rbf, improving the untuned baseline from 92.96% to 96.46% on the held-out test set (cross-validated accuracy 0.9547).</w:t>
      </w:r>
    </w:p>
    <w:p>
      <w:pPr>
        <w:pStyle w:val="Heading2"/>
        <w:keepNext/>
        <w:spacing w:after="120" w:before="240"/>
      </w:pPr>
      <w:r>
        <w:rPr>
          <w:rFonts w:ascii="Calibri" w:cs="Calibri" w:eastAsia="Calibri" w:hAnsi="Calibri"/>
          <w:b/>
          <w:bCs/>
          <w:color w:val="1F3864"/>
          <w:sz w:val="24"/>
          <w:szCs w:val="24"/>
        </w:rPr>
        <w:t xml:space="preserve">5.2  Multi-Layer Perceptron — Muhunthan R. (IT25102618)</w:t>
      </w:r>
    </w:p>
    <w:p>
      <w:pPr>
        <w:keepNext w:val="false"/>
        <w:spacing w:after="140" w:line="276"/>
        <w:jc w:val="both"/>
      </w:pPr>
      <w:r>
        <w:rPr>
          <w:rFonts w:ascii="Calibri" w:cs="Calibri" w:eastAsia="Calibri" w:hAnsi="Calibri"/>
          <w:sz w:val="22"/>
          <w:szCs w:val="22"/>
        </w:rPr>
        <w:t xml:space="preserve">A feed-forward neural network was chosen as the deep-learning contribution. It suits this dataset because the input is a fixed-length vector of 21 numeric descriptors; stacked hidden layers with non-linear activations learn curved decision boundaries through a mechanism quite different from the SVM’s kernel trick, which makes the two instructive to compare.</w:t>
      </w:r>
    </w:p>
    <w:p>
      <w:pPr>
        <w:spacing w:after="14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sixteen architectures were trained, varying hidden-layer configuration, activation function and L2 weight decay, each under 3-fold cross-validation with early stopping. The selected configuration was activation = tanh, alpha = 0.001, hidden_layer_sizes = (128, 64), improving the single-layer baseline from 91.64% to 94.67% (cross-validated accuracy 0.9324, converged after 90 iterations).</w:t>
      </w:r>
    </w:p>
    <w:p>
      <w:pPr>
        <w:pStyle w:val="Heading2"/>
        <w:keepNext/>
        <w:spacing w:after="120" w:before="240"/>
      </w:pPr>
      <w:r>
        <w:rPr>
          <w:rFonts w:ascii="Calibri" w:cs="Calibri" w:eastAsia="Calibri" w:hAnsi="Calibri"/>
          <w:b/>
          <w:bCs/>
          <w:color w:val="1F3864"/>
          <w:sz w:val="24"/>
          <w:szCs w:val="24"/>
        </w:rPr>
        <w:t xml:space="preserve">5.3  Decision Tree — Thrishodaran V. (IT25102227)</w:t>
      </w:r>
    </w:p>
    <w:p>
      <w:pPr>
        <w:keepNext w:val="false"/>
        <w:spacing w:after="140" w:line="276"/>
        <w:jc w:val="both"/>
      </w:pPr>
      <w:r>
        <w:rPr>
          <w:rFonts w:ascii="Calibri" w:cs="Calibri" w:eastAsia="Calibri" w:hAnsi="Calibri"/>
          <w:sz w:val="22"/>
          <w:szCs w:val="22"/>
        </w:rPr>
        <w:t xml:space="preserve">The sixteen original attributes are discrete integer descriptors, which map naturally onto a tree’s axis-aligned threshold splits. The Decision Tree also requires no feature scaling and is the only model in the group whose individual predictions can be read directly as a short sequence of human-interpretable tests, making it the deliberate interpretability counterpoint to the SVM and MLP.</w:t>
      </w:r>
    </w:p>
    <w:p>
      <w:pPr>
        <w:spacing w:after="14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split criterion, maximum depth, minimum samples per split and minimum samples per leaf were searched, with a deliberately shallow tree trained first to demonstrate the underfitting extreme (38.24%). The selected configuration was criterion = entropy, max_depth = 20, min_samples_leaf = 1, min_samples_split = 2, reaching 86.05% on the test set, with an independent 5-fold cross-validation accuracy of 0.8518 ± 0.0066. The final tree has depth 20 and 1733 leaves.</w:t>
      </w:r>
    </w:p>
    <w:p>
      <w:pPr>
        <w:pStyle w:val="Heading2"/>
        <w:keepNext/>
        <w:spacing w:after="120" w:before="240"/>
      </w:pPr>
      <w:r>
        <w:rPr>
          <w:rFonts w:ascii="Calibri" w:cs="Calibri" w:eastAsia="Calibri" w:hAnsi="Calibri"/>
          <w:b/>
          <w:bCs/>
          <w:color w:val="1F3864"/>
          <w:sz w:val="24"/>
          <w:szCs w:val="24"/>
        </w:rPr>
        <w:t xml:space="preserve">5.4  Logistic Regression — Wijayagunasekara L.A.V.D.S. (IT25100064)</w:t>
      </w:r>
    </w:p>
    <w:p>
      <w:pPr>
        <w:keepNext w:val="false"/>
        <w:spacing w:after="140" w:line="276"/>
        <w:jc w:val="both"/>
      </w:pPr>
      <w:r>
        <w:rPr>
          <w:rFonts w:ascii="Calibri" w:cs="Calibri" w:eastAsia="Calibri" w:hAnsi="Calibri"/>
          <w:sz w:val="22"/>
          <w:szCs w:val="22"/>
        </w:rPr>
        <w:t xml:space="preserve">Multinomial Logistic Regression was included deliberately as the group’s linear baseline. Its purpose is diagnostic: by establishing what a purely linear decision boundary can achieve on this dataset, it quantifies how much of the other models’ performance is genuinely attributable to non-linearity rather than to tuning effort.</w:t>
      </w:r>
    </w:p>
    <w:p>
      <w:pPr>
        <w:spacing w:after="14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regularisation strength C was searched across both l2 (lbfgs solver) and l1 (saga solver) penalties. The selected configuration was C = 1, max_iter = 1000, penalty = l1, solver = saga, reaching 77.32%. Accuracy was almost flat across the grid, which is itself the finding: the model is limited by its linear form, not by regularisation.</w:t>
      </w:r>
    </w:p>
    <w:p>
      <w:pPr>
        <w:pStyle w:val="Heading2"/>
        <w:keepNext/>
        <w:spacing w:after="120" w:before="240"/>
      </w:pPr>
      <w:r>
        <w:rPr>
          <w:rFonts w:ascii="Calibri" w:cs="Calibri" w:eastAsia="Calibri" w:hAnsi="Calibri"/>
          <w:b/>
          <w:bCs/>
          <w:color w:val="1F3864"/>
          <w:sz w:val="24"/>
          <w:szCs w:val="24"/>
        </w:rPr>
        <w:t xml:space="preserve">5.5  K-Means Clustering — Almeida K.K.O. (IT25103191)</w:t>
      </w:r>
    </w:p>
    <w:p>
      <w:pPr>
        <w:keepNext w:val="false"/>
        <w:spacing w:after="140" w:line="276"/>
        <w:jc w:val="both"/>
      </w:pPr>
      <w:r>
        <w:rPr>
          <w:rFonts w:ascii="Calibri" w:cs="Calibri" w:eastAsia="Calibri" w:hAnsi="Calibri"/>
          <w:sz w:val="22"/>
          <w:szCs w:val="22"/>
        </w:rPr>
        <w:t xml:space="preserve">K-Means addresses a question none of the supervised models can: whether the feature space contains natural letter structure when the labels are hidden entirely. Because ground-truth labels exist, they can be withheld during fitting and then used purely for external validation, which gives an unusually clean measurement of how much class structure is intrinsic to the geometry of the data.</w:t>
      </w:r>
    </w:p>
    <w:p>
      <w:pPr>
        <w:spacing w:after="14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the number of clusters k was swept using the elbow method and the silhouette score, then two varieties were fitted on the full dataset — the silhouette-preferred k = 20, and k = 26 to match the known alphabet. At k = 26 the clustering achieves an Adjusted Rand Index of 0.1507 and Normalized Mutual Information of 0.3638 against the true letters.</w:t>
      </w:r>
    </w:p>
    <w:p>
      <w:pPr>
        <w:pStyle w:val="Heading2"/>
        <w:keepNext/>
        <w:spacing w:after="120" w:before="240"/>
      </w:pPr>
      <w:r>
        <w:rPr>
          <w:rFonts w:ascii="Calibri" w:cs="Calibri" w:eastAsia="Calibri" w:hAnsi="Calibri"/>
          <w:b/>
          <w:bCs/>
          <w:color w:val="1F3864"/>
          <w:sz w:val="24"/>
          <w:szCs w:val="24"/>
        </w:rPr>
        <w:t xml:space="preserve">5.6  Principal Component Analysis — Danishiyan G.J. (IT25101436)</w:t>
      </w:r>
    </w:p>
    <w:p>
      <w:pPr>
        <w:keepNext w:val="false"/>
        <w:spacing w:after="140" w:line="276"/>
        <w:jc w:val="both"/>
      </w:pPr>
      <w:r>
        <w:rPr>
          <w:rFonts w:ascii="Calibri" w:cs="Calibri" w:eastAsia="Calibri" w:hAnsi="Calibri"/>
          <w:sz w:val="22"/>
          <w:szCs w:val="22"/>
        </w:rPr>
        <w:t xml:space="preserve">PCA was applied as a standalone dimensionality-reduction study. It suits this feature set specifically because five of the 21 features were engineered from the other sixteen and are therefore correlated with their parent columns by construction — exactly the redundancy PCA is designed to compress. PCA is fitted on the training set only, so no test-set variance structure leaks into the transformation. Because PCA is unsupervised and predicts nothing by itself, a k-nearest-neighbours (KNN) classifier is used as a fixed downstream classifier to measure how much predictive information survives the reduction, with KNN on all 21 original features as the baseline. Standardization was applied before PCA because PCA is sensitive to feature scale; it prevents features with larger numerical scales from dominating the principal components.</w:t>
      </w:r>
    </w:p>
    <w:p>
      <w:pPr>
        <w:spacing w:after="200" w:line="276"/>
        <w:jc w:val="both"/>
      </w:pPr>
      <w:r>
        <w:rPr>
          <w:rFonts w:ascii="Calibri" w:cs="Calibri" w:eastAsia="Calibri" w:hAnsi="Calibri"/>
          <w:b/>
          <w:bCs/>
          <w:sz w:val="22"/>
          <w:szCs w:val="22"/>
        </w:rPr>
        <w:t xml:space="preserve">Tuning: </w:t>
      </w:r>
      <w:r>
        <w:rPr>
          <w:rFonts w:ascii="Calibri" w:cs="Calibri" w:eastAsia="Calibri" w:hAnsi="Calibri"/>
          <w:sz w:val="22"/>
          <w:szCs w:val="22"/>
        </w:rPr>
        <w:t xml:space="preserve">five settings of n_components were compared, each scored both by the variance it retains and by the accuracy of a fixed k-nearest-neighbours classifier trained on its output, under 3-fold cross-validation with PCA refitted inside each fold. The selected configuration retains 13 of 21 components, preserving 95.18% of the variance for a 38.1% reduction in dimensionality. KNN test accuracy using all 21 features was 91.78%; KNN test accuracy using the PCA-reduced features was 90.33% — a decrease of 1.45 percentage points in exchange for a 38.1% reduction in dimensionality. On the PCA-reduced features KNN reached a macro-averaged precision of 90.64%, recall of 90.28% and F1 of 90.37%.</w:t>
      </w:r>
    </w:p>
    <w:p>
      <w:pPr>
        <w:pStyle w:val="Heading1"/>
        <w:keepNext/>
        <w:spacing w:after="160" w:before="320"/>
      </w:pPr>
      <w:r>
        <w:rPr>
          <w:rFonts w:ascii="Calibri" w:cs="Calibri" w:eastAsia="Calibri" w:hAnsi="Calibri"/>
          <w:b/>
          <w:bCs/>
          <w:color w:val="1F3864"/>
          <w:sz w:val="28"/>
          <w:szCs w:val="28"/>
        </w:rPr>
        <w:t xml:space="preserve">6.  Results and Comparative Analysis</w:t>
      </w:r>
    </w:p>
    <w:p>
      <w:pPr>
        <w:pStyle w:val="Heading2"/>
        <w:keepNext/>
        <w:spacing w:after="120" w:before="240"/>
      </w:pPr>
      <w:r>
        <w:rPr>
          <w:rFonts w:ascii="Calibri" w:cs="Calibri" w:eastAsia="Calibri" w:hAnsi="Calibri"/>
          <w:b/>
          <w:bCs/>
          <w:color w:val="1F3864"/>
          <w:sz w:val="24"/>
          <w:szCs w:val="24"/>
        </w:rPr>
        <w:t xml:space="preserve">6.1  Classification models</w:t>
      </w:r>
    </w:p>
    <w:p>
      <w:pPr>
        <w:keepNext w:val="false"/>
        <w:spacing w:after="140" w:line="276"/>
        <w:jc w:val="both"/>
      </w:pPr>
      <w:r>
        <w:rPr>
          <w:rFonts w:ascii="Calibri" w:cs="Calibri" w:eastAsia="Calibri" w:hAnsi="Calibri"/>
          <w:sz w:val="22"/>
          <w:szCs w:val="22"/>
        </w:rPr>
        <w:t xml:space="preserve">The four supervised classifiers solve an identical task on an identical split, so their metrics are directly comparable. Macro-averaged precision, recall and F1 are reported alongside accuracy because macro-averaging weights every letter equally, which prevents a single poorly-handled letter from being masked by the other twenty-five. Danishiyan’s PCA (13 components) → KNN pipeline also classifies letters on the same split, so it is included in the table; its metrics are those of the full pipeline, not of PCA on its own.</w:t>
      </w:r>
    </w:p>
    <w:tbl>
      <w:tblPr>
        <w:tblW w:type="dxa" w:w="9480"/>
        <w:tblBorders>
          <w:top w:val="single" w:color="8EA9DB" w:sz="4"/>
          <w:left w:val="single" w:color="8EA9DB" w:sz="4"/>
          <w:bottom w:val="single" w:color="8EA9DB" w:sz="4"/>
          <w:right w:val="single" w:color="8EA9DB" w:sz="4"/>
          <w:insideH w:val="single" w:color="B4C6E7" w:sz="2"/>
          <w:insideV w:val="single" w:color="B4C6E7" w:sz="2"/>
        </w:tblBorders>
      </w:tblPr>
      <w:tblGrid>
        <w:gridCol w:w="2500"/>
        <w:gridCol w:w="2180"/>
        <w:gridCol w:w="1200"/>
        <w:gridCol w:w="1200"/>
        <w:gridCol w:w="1200"/>
        <w:gridCol w:w="1200"/>
      </w:tblGrid>
      <w:tr>
        <w:trPr>
          <w:cantSplit/>
          <w:tblHeader/>
        </w:trPr>
        <w:tc>
          <w:tcPr>
            <w:tcW w:type="dxa" w:w="2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Model</w:t>
            </w:r>
          </w:p>
        </w:tc>
        <w:tc>
          <w:tcPr>
            <w:tcW w:type="dxa" w:w="218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Member</w:t>
            </w:r>
          </w:p>
        </w:tc>
        <w:tc>
          <w:tcPr>
            <w:tcW w:type="dxa" w:w="12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Accuracy</w:t>
            </w:r>
          </w:p>
        </w:tc>
        <w:tc>
          <w:tcPr>
            <w:tcW w:type="dxa" w:w="12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Precision</w:t>
            </w:r>
          </w:p>
        </w:tc>
        <w:tc>
          <w:tcPr>
            <w:tcW w:type="dxa" w:w="12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Recall</w:t>
            </w:r>
          </w:p>
        </w:tc>
        <w:tc>
          <w:tcPr>
            <w:tcW w:type="dxa" w:w="12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F1</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Support Vector Machine (RBF)</w:t>
            </w:r>
          </w:p>
        </w:tc>
        <w:tc>
          <w:tcPr>
            <w:tcW w:type="dxa" w:w="21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Nirushiya A.</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0.9646</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0.9654</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0.9645</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0.9648</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Multi-Layer Perceptron</w:t>
            </w:r>
          </w:p>
        </w:tc>
        <w:tc>
          <w:tcPr>
            <w:tcW w:type="dxa" w:w="21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Muhunthan R.</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0.9467</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0.9476</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0.9457</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0.9464</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PCA (13 components) → KNN</w:t>
            </w:r>
          </w:p>
        </w:tc>
        <w:tc>
          <w:tcPr>
            <w:tcW w:type="dxa" w:w="21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Danishiyan G.J.</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0.9033</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0.9064</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0.9028</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0.9037</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Decision Tree</w:t>
            </w:r>
          </w:p>
        </w:tc>
        <w:tc>
          <w:tcPr>
            <w:tcW w:type="dxa" w:w="21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Thrishodaran V.</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0.8605</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0.8615</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0.8606</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0.8607</w:t>
            </w:r>
          </w:p>
        </w:tc>
      </w:tr>
      <w:tr>
        <w:trPr>
          <w:cantSplit/>
        </w:trPr>
        <w:tc>
          <w:tcPr>
            <w:tcW w:type="dxa" w:w="2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Logistic Regression</w:t>
            </w:r>
          </w:p>
        </w:tc>
        <w:tc>
          <w:tcPr>
            <w:tcW w:type="dxa" w:w="21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Wijayagunasekara L.A.V.D.S.</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0.7732</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0.7773</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0.7720</w:t>
            </w:r>
          </w:p>
        </w:tc>
        <w:tc>
          <w:tcPr>
            <w:tcW w:type="dxa" w:w="12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0.7730</w:t>
            </w:r>
          </w:p>
        </w:tc>
      </w:tr>
    </w:tbl>
    <w:p>
      <w:pPr>
        <w:spacing w:after="140"/>
      </w:pPr>
    </w:p>
    <w:p>
      <w:pPr>
        <w:keepNext w:val="false"/>
        <w:spacing w:after="140" w:line="276"/>
        <w:jc w:val="both"/>
      </w:pPr>
      <w:r>
        <w:rPr>
          <w:rFonts w:ascii="Calibri" w:cs="Calibri" w:eastAsia="Calibri" w:hAnsi="Calibri"/>
          <w:sz w:val="22"/>
          <w:szCs w:val="22"/>
        </w:rPr>
        <w:t xml:space="preserve">The Support Vector Machine (RBF) is the strongest classifier at 96.46% accuracy, followed closely by the Multi-Layer Perceptron at 94.67%. The Logistic Regression is weakest at 77.32%. The spread of 19.15 percentage points between the best and weakest classifier is the single most informative number in this table: because the weakest model is the only linear one, that gap is a direct measurement of how much this problem depends on non-linear decision boundaries.</w:t>
      </w:r>
    </w:p>
    <w:p>
      <w:pPr>
        <w:keepNext w:val="false"/>
        <w:spacing w:after="140" w:line="276"/>
        <w:jc w:val="both"/>
      </w:pPr>
      <w:r>
        <w:rPr>
          <w:rFonts w:ascii="Calibri" w:cs="Calibri" w:eastAsia="Calibri" w:hAnsi="Calibri"/>
          <w:sz w:val="22"/>
          <w:szCs w:val="22"/>
        </w:rPr>
        <w:t xml:space="preserve">Across all five rows in the table, precision, recall and F1 track accuracy closely. That consistency is expected given the balanced class distribution, and it confirms that no model is achieving its accuracy by systematically favouring the more common letters.</w:t>
      </w:r>
    </w:p>
    <w:p>
      <w:pPr>
        <w:pStyle w:val="Heading2"/>
        <w:keepNext/>
        <w:spacing w:after="120" w:before="240"/>
      </w:pPr>
      <w:r>
        <w:rPr>
          <w:rFonts w:ascii="Calibri" w:cs="Calibri" w:eastAsia="Calibri" w:hAnsi="Calibri"/>
          <w:b/>
          <w:bCs/>
          <w:color w:val="1F3864"/>
          <w:sz w:val="24"/>
          <w:szCs w:val="24"/>
        </w:rPr>
        <w:t xml:space="preserve">6.2  Clustering and dimensionality reduction</w:t>
      </w:r>
    </w:p>
    <w:p>
      <w:pPr>
        <w:keepNext/>
        <w:spacing w:after="140" w:line="276"/>
        <w:jc w:val="both"/>
      </w:pPr>
      <w:r>
        <w:rPr>
          <w:rFonts w:ascii="Calibri" w:cs="Calibri" w:eastAsia="Calibri" w:hAnsi="Calibri"/>
          <w:sz w:val="22"/>
          <w:szCs w:val="22"/>
        </w:rPr>
        <w:t xml:space="preserve">K-Means and PCA solve different problems from the classifiers: neither predicts a letter by itself, so each is reported on metrics native to its task. For PCA these are the variance retained and the accuracy of the downstream KNN classifier (the PCA → KNN row in Table 6.1).</w:t>
      </w:r>
    </w:p>
    <w:tbl>
      <w:tblPr>
        <w:tblW w:type="dxa" w:w="948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2000"/>
        <w:gridCol w:w="1700"/>
        <w:gridCol w:w="1700"/>
        <w:gridCol w:w="1680"/>
      </w:tblGrid>
      <w:tr>
        <w:trPr>
          <w:cantSplit/>
          <w:tblHeader/>
        </w:trPr>
        <w:tc>
          <w:tcPr>
            <w:tcW w:type="dxa" w:w="24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Model</w:t>
            </w:r>
          </w:p>
        </w:tc>
        <w:tc>
          <w:tcPr>
            <w:tcW w:type="dxa" w:w="20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Member</w:t>
            </w:r>
          </w:p>
        </w:tc>
        <w:tc>
          <w:tcPr>
            <w:tcW w:type="dxa" w:w="17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Metric 1</w:t>
            </w:r>
          </w:p>
        </w:tc>
        <w:tc>
          <w:tcPr>
            <w:tcW w:type="dxa" w:w="17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Metric 2</w:t>
            </w:r>
          </w:p>
        </w:tc>
        <w:tc>
          <w:tcPr>
            <w:tcW w:type="dxa" w:w="168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Selected configuration</w:t>
            </w:r>
          </w:p>
        </w:tc>
      </w:tr>
      <w:tr>
        <w:trPr>
          <w:cantSplit/>
        </w:trPr>
        <w:tc>
          <w:tcPr>
            <w:tcW w:type="dxa" w:w="24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K-Means</w:t>
            </w:r>
          </w:p>
        </w:tc>
        <w:tc>
          <w:tcPr>
            <w:tcW w:type="dxa" w:w="20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Almeida K.K.O.</w:t>
            </w:r>
          </w:p>
        </w:tc>
        <w:tc>
          <w:tcPr>
            <w:tcW w:type="dxa" w:w="17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ARI 0.1507</w:t>
            </w:r>
          </w:p>
        </w:tc>
        <w:tc>
          <w:tcPr>
            <w:tcW w:type="dxa" w:w="17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NMI 0.3638</w:t>
            </w:r>
          </w:p>
        </w:tc>
        <w:tc>
          <w:tcPr>
            <w:tcW w:type="dxa" w:w="168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k = 26</w:t>
            </w:r>
          </w:p>
        </w:tc>
      </w:tr>
      <w:tr>
        <w:trPr>
          <w:cantSplit/>
        </w:trPr>
        <w:tc>
          <w:tcPr>
            <w:tcW w:type="dxa" w:w="24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PCA (13 components) → KNN</w:t>
            </w:r>
          </w:p>
        </w:tc>
        <w:tc>
          <w:tcPr>
            <w:tcW w:type="dxa" w:w="20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Danishiyan G.J.</w:t>
            </w:r>
          </w:p>
        </w:tc>
        <w:tc>
          <w:tcPr>
            <w:tcW w:type="dxa" w:w="17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95.18% variance retained</w:t>
            </w:r>
          </w:p>
        </w:tc>
        <w:tc>
          <w:tcPr>
            <w:tcW w:type="dxa" w:w="17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90.33% accuracy, 90.37% macro-F1</w:t>
            </w:r>
          </w:p>
        </w:tc>
        <w:tc>
          <w:tcPr>
            <w:tcW w:type="dxa" w:w="16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21 → 13 components</w:t>
            </w:r>
          </w:p>
        </w:tc>
      </w:tr>
    </w:tbl>
    <w:p>
      <w:pPr>
        <w:spacing w:after="140"/>
      </w:pPr>
    </w:p>
    <w:p>
      <w:pPr>
        <w:keepNext w:val="false"/>
        <w:spacing w:after="140" w:line="276"/>
        <w:jc w:val="both"/>
      </w:pPr>
      <w:r>
        <w:rPr>
          <w:rFonts w:ascii="Calibri" w:cs="Calibri" w:eastAsia="Calibri" w:hAnsi="Calibri"/>
          <w:sz w:val="22"/>
          <w:szCs w:val="22"/>
        </w:rPr>
        <w:t xml:space="preserve">K-Means scores well above zero on both external measures, confirming that genuine letter structure exists in the feature space without any supervision, but it falls far below every supervised model — the expected outcome for 26 visually overlapping classes under a method that assumes spherical, equally-sized clusters. Notably, the silhouette score peaks at k = 20 rather than 26, indicating that the geometrically cleanest partition of this data is a handful of broad letter families rather than the alphabet itself.</w:t>
      </w:r>
    </w:p>
    <w:p>
      <w:pPr>
        <w:keepNext/>
        <w:spacing w:after="140" w:line="276"/>
        <w:jc w:val="both"/>
      </w:pPr>
      <w:r>
        <w:rPr>
          <w:rFonts w:ascii="Calibri" w:cs="Calibri" w:eastAsia="Calibri" w:hAnsi="Calibri"/>
          <w:sz w:val="22"/>
          <w:szCs w:val="22"/>
        </w:rPr>
        <w:t xml:space="preserve">PCA shows that the 21-feature set carries real redundancy: 13 components retain 95.18% of the variance. The compression is not free, however: KNN test accuracy using the PCA-reduced features was 90.33%, against 91.78% for KNN on all 21 features — a decrease of 1.45 percentage points. Whether that trade is worthwhile is a deployment decision: it is attractive where memory or latency is constrained, and unnecessary where accuracy is the only consideration. Because PCA does not predict letters itself, the classification metrics below are those of the PCA → KNN pipeline, compared with the same KNN on all 21 features.</w:t>
      </w:r>
    </w:p>
    <w:tbl>
      <w:tblPr>
        <w:tblW w:type="dxa" w:w="9480"/>
        <w:tblBorders>
          <w:top w:val="single" w:color="8EA9DB" w:sz="4"/>
          <w:left w:val="single" w:color="8EA9DB" w:sz="4"/>
          <w:bottom w:val="single" w:color="8EA9DB" w:sz="4"/>
          <w:right w:val="single" w:color="8EA9DB" w:sz="4"/>
          <w:insideH w:val="single" w:color="B4C6E7" w:sz="2"/>
          <w:insideV w:val="single" w:color="B4C6E7" w:sz="2"/>
        </w:tblBorders>
      </w:tblPr>
      <w:tblGrid>
        <w:gridCol w:w="3480"/>
        <w:gridCol w:w="1500"/>
        <w:gridCol w:w="1500"/>
        <w:gridCol w:w="1500"/>
        <w:gridCol w:w="1500"/>
      </w:tblGrid>
      <w:tr>
        <w:trPr>
          <w:cantSplit/>
          <w:tblHeader/>
        </w:trPr>
        <w:tc>
          <w:tcPr>
            <w:tcW w:type="dxa" w:w="348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Model</w:t>
            </w:r>
          </w:p>
        </w:tc>
        <w:tc>
          <w:tcPr>
            <w:tcW w:type="dxa" w:w="1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Accuracy</w:t>
            </w:r>
          </w:p>
        </w:tc>
        <w:tc>
          <w:tcPr>
            <w:tcW w:type="dxa" w:w="1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Precision</w:t>
            </w:r>
          </w:p>
        </w:tc>
        <w:tc>
          <w:tcPr>
            <w:tcW w:type="dxa" w:w="1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Recall</w:t>
            </w:r>
          </w:p>
        </w:tc>
        <w:tc>
          <w:tcPr>
            <w:tcW w:type="dxa" w:w="1500"/>
            <w:shd w:fill="D9E2F3" w:color="auto" w:val="clear"/>
            <w:tcMar>
              <w:top w:type="dxa" w:w="60"/>
              <w:left w:type="dxa" w:w="90"/>
              <w:bottom w:type="dxa" w:w="60"/>
              <w:right w:type="dxa" w:w="90"/>
            </w:tcMar>
          </w:tcPr>
          <w:p>
            <w:pPr>
              <w:keepNext/>
              <w:spacing w:after="0" w:line="240"/>
              <w:jc w:val="left"/>
            </w:pPr>
            <w:r>
              <w:rPr>
                <w:rFonts w:ascii="Calibri" w:cs="Calibri" w:eastAsia="Calibri" w:hAnsi="Calibri"/>
                <w:b/>
                <w:bCs/>
                <w:sz w:val="20"/>
                <w:szCs w:val="20"/>
              </w:rPr>
              <w:t xml:space="preserve">F1</w:t>
            </w:r>
          </w:p>
        </w:tc>
      </w:tr>
      <w:tr>
        <w:trPr>
          <w:cantSplit/>
        </w:trPr>
        <w:tc>
          <w:tcPr>
            <w:tcW w:type="dxa" w:w="348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KNN — all 21 features (baseline)</w:t>
            </w:r>
          </w:p>
        </w:tc>
        <w:tc>
          <w:tcPr>
            <w:tcW w:type="dxa" w:w="15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0.9178</w:t>
            </w:r>
          </w:p>
        </w:tc>
        <w:tc>
          <w:tcPr>
            <w:tcW w:type="dxa" w:w="15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0.9203</w:t>
            </w:r>
          </w:p>
        </w:tc>
        <w:tc>
          <w:tcPr>
            <w:tcW w:type="dxa" w:w="15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0.9173</w:t>
            </w:r>
          </w:p>
        </w:tc>
        <w:tc>
          <w:tcPr>
            <w:tcW w:type="dxa" w:w="1500"/>
            <w:tcMar>
              <w:top w:type="dxa" w:w="60"/>
              <w:left w:type="dxa" w:w="90"/>
              <w:bottom w:type="dxa" w:w="60"/>
              <w:right w:type="dxa" w:w="90"/>
            </w:tcMar>
          </w:tcPr>
          <w:p>
            <w:pPr>
              <w:keepNext/>
              <w:spacing w:after="0" w:line="240"/>
              <w:jc w:val="left"/>
            </w:pPr>
            <w:r>
              <w:rPr>
                <w:rFonts w:ascii="Calibri" w:cs="Calibri" w:eastAsia="Calibri" w:hAnsi="Calibri"/>
                <w:b w:val="false"/>
                <w:bCs w:val="false"/>
                <w:sz w:val="20"/>
                <w:szCs w:val="20"/>
              </w:rPr>
              <w:t xml:space="preserve">0.9181</w:t>
            </w:r>
          </w:p>
        </w:tc>
      </w:tr>
      <w:tr>
        <w:trPr>
          <w:cantSplit/>
        </w:trPr>
        <w:tc>
          <w:tcPr>
            <w:tcW w:type="dxa" w:w="348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PCA (13 components) → KNN</w:t>
            </w:r>
          </w:p>
        </w:tc>
        <w:tc>
          <w:tcPr>
            <w:tcW w:type="dxa" w:w="1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0.9033</w:t>
            </w:r>
          </w:p>
        </w:tc>
        <w:tc>
          <w:tcPr>
            <w:tcW w:type="dxa" w:w="1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0.9064</w:t>
            </w:r>
          </w:p>
        </w:tc>
        <w:tc>
          <w:tcPr>
            <w:tcW w:type="dxa" w:w="1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0.9028</w:t>
            </w:r>
          </w:p>
        </w:tc>
        <w:tc>
          <w:tcPr>
            <w:tcW w:type="dxa" w:w="1500"/>
            <w:tcMar>
              <w:top w:type="dxa" w:w="60"/>
              <w:left w:type="dxa" w:w="90"/>
              <w:bottom w:type="dxa" w:w="60"/>
              <w:right w:type="dxa" w:w="90"/>
            </w:tcMar>
          </w:tcPr>
          <w:p>
            <w:pPr>
              <w:keepNext w:val="false"/>
              <w:spacing w:after="0" w:line="240"/>
              <w:jc w:val="left"/>
            </w:pPr>
            <w:r>
              <w:rPr>
                <w:rFonts w:ascii="Calibri" w:cs="Calibri" w:eastAsia="Calibri" w:hAnsi="Calibri"/>
                <w:b w:val="false"/>
                <w:bCs w:val="false"/>
                <w:sz w:val="20"/>
                <w:szCs w:val="20"/>
              </w:rPr>
              <w:t xml:space="preserve">0.9037</w:t>
            </w:r>
          </w:p>
        </w:tc>
      </w:tr>
    </w:tbl>
    <w:p>
      <w:pPr>
        <w:spacing w:after="200"/>
      </w:pPr>
    </w:p>
    <w:p>
      <w:pPr>
        <w:pStyle w:val="Heading1"/>
        <w:keepNext/>
        <w:spacing w:after="160" w:before="320"/>
      </w:pPr>
      <w:r>
        <w:rPr>
          <w:rFonts w:ascii="Calibri" w:cs="Calibri" w:eastAsia="Calibri" w:hAnsi="Calibri"/>
          <w:b/>
          <w:bCs/>
          <w:color w:val="1F3864"/>
          <w:sz w:val="28"/>
          <w:szCs w:val="28"/>
        </w:rPr>
        <w:t xml:space="preserve">7.  Discussion, Challenges and Limitations</w:t>
      </w:r>
    </w:p>
    <w:p>
      <w:pPr>
        <w:pStyle w:val="Heading2"/>
        <w:keepNext/>
        <w:spacing w:after="120" w:before="240"/>
      </w:pPr>
      <w:r>
        <w:rPr>
          <w:rFonts w:ascii="Calibri" w:cs="Calibri" w:eastAsia="Calibri" w:hAnsi="Calibri"/>
          <w:b/>
          <w:bCs/>
          <w:color w:val="1F3864"/>
          <w:sz w:val="24"/>
          <w:szCs w:val="24"/>
        </w:rPr>
        <w:t xml:space="preserve">7.1  Expected versus observed behaviour</w:t>
      </w:r>
    </w:p>
    <w:p>
      <w:pPr>
        <w:keepNext w:val="false"/>
        <w:spacing w:after="140" w:line="276"/>
        <w:jc w:val="both"/>
      </w:pPr>
      <w:r>
        <w:rPr>
          <w:rFonts w:ascii="Calibri" w:cs="Calibri" w:eastAsia="Calibri" w:hAnsi="Calibri"/>
          <w:sz w:val="22"/>
          <w:szCs w:val="22"/>
        </w:rPr>
        <w:t xml:space="preserve">Three predictions were recorded before the results were known, and all three held. First, linear methods would trail non-linear ones — confirmed by the gap between Logistic Regression and the SVM. Second, clustering would recover partial but not competitive structure — confirmed by the K-Means external scores. Third, the engineered features would introduce measurable redundancy — confirmed by PCA retaining most of the variance in two-thirds of the dimensions. Stating expectations in advance and then testing them is what distinguishes an experiment from a tabulation of numbers.</w:t>
      </w:r>
    </w:p>
    <w:p>
      <w:pPr>
        <w:pStyle w:val="Heading2"/>
        <w:keepNext/>
        <w:spacing w:after="120" w:before="240"/>
      </w:pPr>
      <w:r>
        <w:rPr>
          <w:rFonts w:ascii="Calibri" w:cs="Calibri" w:eastAsia="Calibri" w:hAnsi="Calibri"/>
          <w:b/>
          <w:bCs/>
          <w:color w:val="1F3864"/>
          <w:sz w:val="24"/>
          <w:szCs w:val="24"/>
        </w:rPr>
        <w:t xml:space="preserve">7.2  Challenges encountered</w:t>
      </w:r>
    </w:p>
    <w:p>
      <w:pPr>
        <w:pStyle w:val="ListParagraph"/>
        <w:numPr>
          <w:ilvl w:val="0"/>
          <w:numId w:val="2"/>
        </w:numPr>
        <w:spacing w:after="90" w:line="276"/>
        <w:jc w:val="both"/>
      </w:pPr>
      <w:r>
        <w:rPr>
          <w:rFonts w:ascii="Calibri" w:cs="Calibri" w:eastAsia="Calibri" w:hAnsi="Calibri"/>
          <w:sz w:val="22"/>
          <w:szCs w:val="22"/>
        </w:rPr>
        <w:t xml:space="preserve">The ratio-feature defect described in Section 3.1 was the most consequential issue of the project. It was silent — the code ran without error, and the summary statistics looked plausible — and was only caught by examining the distribution of the engineered features directly. Every result in this phase had to be regenerated once it was fixed.</w:t>
      </w:r>
    </w:p>
    <w:p>
      <w:pPr>
        <w:pStyle w:val="ListParagraph"/>
        <w:numPr>
          <w:ilvl w:val="0"/>
          <w:numId w:val="2"/>
        </w:numPr>
        <w:spacing w:after="90" w:line="276"/>
        <w:jc w:val="both"/>
      </w:pPr>
      <w:r>
        <w:rPr>
          <w:rFonts w:ascii="Calibri" w:cs="Calibri" w:eastAsia="Calibri" w:hAnsi="Calibri"/>
          <w:sz w:val="22"/>
          <w:szCs w:val="22"/>
        </w:rPr>
        <w:t xml:space="preserve">Compute budget constrained the hyperparameter grids, particularly for the SVM, whose training cost grows roughly quadratically with sample count, and for the MLP, where each of sixteen architectures is trained three times under cross-validation.</w:t>
      </w:r>
    </w:p>
    <w:p>
      <w:pPr>
        <w:pStyle w:val="ListParagraph"/>
        <w:numPr>
          <w:ilvl w:val="0"/>
          <w:numId w:val="2"/>
        </w:numPr>
        <w:spacing w:after="90" w:line="276"/>
        <w:jc w:val="both"/>
      </w:pPr>
      <w:r>
        <w:rPr>
          <w:rFonts w:ascii="Calibri" w:cs="Calibri" w:eastAsia="Calibri" w:hAnsi="Calibri"/>
          <w:sz w:val="22"/>
          <w:szCs w:val="22"/>
        </w:rPr>
        <w:t xml:space="preserve">Comparing models across four different families required care. A single ranked league table covering all six would have been misleading, since accuracy is undefined for clustering and dimensionality reduction, so each model is reported on metrics appropriate to its own task.</w:t>
      </w:r>
    </w:p>
    <w:p>
      <w:pPr>
        <w:pStyle w:val="Heading2"/>
        <w:keepNext/>
        <w:spacing w:after="120" w:before="240"/>
      </w:pPr>
      <w:r>
        <w:rPr>
          <w:rFonts w:ascii="Calibri" w:cs="Calibri" w:eastAsia="Calibri" w:hAnsi="Calibri"/>
          <w:b/>
          <w:bCs/>
          <w:color w:val="1F3864"/>
          <w:sz w:val="24"/>
          <w:szCs w:val="24"/>
        </w:rPr>
        <w:t xml:space="preserve">7.3  Limitations</w:t>
      </w:r>
    </w:p>
    <w:p>
      <w:pPr>
        <w:pStyle w:val="ListParagraph"/>
        <w:numPr>
          <w:ilvl w:val="0"/>
          <w:numId w:val="2"/>
        </w:numPr>
        <w:spacing w:after="90" w:line="276"/>
        <w:jc w:val="both"/>
      </w:pPr>
      <w:r>
        <w:rPr>
          <w:rFonts w:ascii="Calibri" w:cs="Calibri" w:eastAsia="Calibri" w:hAnsi="Calibri"/>
          <w:sz w:val="22"/>
          <w:szCs w:val="22"/>
        </w:rPr>
        <w:t xml:space="preserve">All models were tuned with 3-fold cross-validation and evaluated on a single held-out split. A full nested cross-validation would give a statistically firmer comparison, at considerably greater computational cost.</w:t>
      </w:r>
    </w:p>
    <w:p>
      <w:pPr>
        <w:pStyle w:val="ListParagraph"/>
        <w:numPr>
          <w:ilvl w:val="0"/>
          <w:numId w:val="2"/>
        </w:numPr>
        <w:spacing w:after="90" w:line="276"/>
        <w:jc w:val="both"/>
      </w:pPr>
      <w:r>
        <w:rPr>
          <w:rFonts w:ascii="Calibri" w:cs="Calibri" w:eastAsia="Calibri" w:hAnsi="Calibri"/>
          <w:sz w:val="22"/>
          <w:szCs w:val="22"/>
        </w:rPr>
        <w:t xml:space="preserve">The hyperparameter grids were deliberately modest. A randomised or Bayesian search over a wider space could plausibly improve the SVM and MLP further.</w:t>
      </w:r>
    </w:p>
    <w:p>
      <w:pPr>
        <w:pStyle w:val="ListParagraph"/>
        <w:numPr>
          <w:ilvl w:val="0"/>
          <w:numId w:val="2"/>
        </w:numPr>
        <w:spacing w:after="90" w:line="276"/>
        <w:jc w:val="both"/>
      </w:pPr>
      <w:r>
        <w:rPr>
          <w:rFonts w:ascii="Calibri" w:cs="Calibri" w:eastAsia="Calibri" w:hAnsi="Calibri"/>
          <w:sz w:val="22"/>
          <w:szCs w:val="22"/>
        </w:rPr>
        <w:t xml:space="preserve">The MLP uses scikit-learn’s MLPClassifier, which exposes no dropout, batch normalisation or learning-rate scheduling. A Keras or TensorFlow implementation would allow finer control.</w:t>
      </w:r>
    </w:p>
    <w:p>
      <w:pPr>
        <w:pStyle w:val="ListParagraph"/>
        <w:numPr>
          <w:ilvl w:val="0"/>
          <w:numId w:val="2"/>
        </w:numPr>
        <w:spacing w:after="90" w:line="276"/>
        <w:jc w:val="both"/>
      </w:pPr>
      <w:r>
        <w:rPr>
          <w:rFonts w:ascii="Calibri" w:cs="Calibri" w:eastAsia="Calibri" w:hAnsi="Calibri"/>
          <w:sz w:val="22"/>
          <w:szCs w:val="22"/>
        </w:rPr>
        <w:t xml:space="preserve">The shared preprocessing pipeline fits its outlier-capping bounds (Stage 2) and its StandardScaler (Stage 5) on all 18,668 rows before the train/test split, so these preprocessing statistics were partly computed from rows that later formed the test set. This was measured directly by repeating the PCA + KNN experiment with capping and scaling fitted on the training rows only: the component count and variance retained were unchanged, and KNN accuracy on the PCA-reduced features moved from 90.33% to 90.36%. The effect is negligible on this dataset, but splitting first and fitting every preprocessing step on training data only is the correct procedure and is recommended for future work.</w:t>
      </w:r>
    </w:p>
    <w:p>
      <w:pPr>
        <w:pStyle w:val="ListParagraph"/>
        <w:numPr>
          <w:ilvl w:val="0"/>
          <w:numId w:val="2"/>
        </w:numPr>
        <w:spacing w:after="90" w:line="276"/>
        <w:jc w:val="both"/>
      </w:pPr>
      <w:r>
        <w:rPr>
          <w:rFonts w:ascii="Calibri" w:cs="Calibri" w:eastAsia="Calibri" w:hAnsi="Calibri"/>
          <w:sz w:val="22"/>
          <w:szCs w:val="22"/>
        </w:rPr>
        <w:t xml:space="preserve">PCA is a linear projection and cannot capture non-linear manifold structure; kernel PCA or UMAP would model curvature better, though neither produces as reusable a transformation.</w:t>
      </w:r>
    </w:p>
    <w:p>
      <w:pPr>
        <w:pStyle w:val="ListParagraph"/>
        <w:numPr>
          <w:ilvl w:val="0"/>
          <w:numId w:val="2"/>
        </w:numPr>
        <w:spacing w:after="90" w:line="276"/>
        <w:jc w:val="both"/>
      </w:pPr>
      <w:r>
        <w:rPr>
          <w:rFonts w:ascii="Calibri" w:cs="Calibri" w:eastAsia="Calibri" w:hAnsi="Calibri"/>
          <w:sz w:val="22"/>
          <w:szCs w:val="22"/>
        </w:rPr>
        <w:t xml:space="preserve">No convolutional network was implemented, because this dataset supplies pre-extracted statistical descriptors rather than raw character images. A CNN would only be appropriate with access to the original pixel data.</w:t>
      </w:r>
    </w:p>
    <w:p>
      <w:pPr>
        <w:pStyle w:val="Heading1"/>
        <w:keepNext/>
        <w:spacing w:after="160" w:before="320"/>
      </w:pPr>
      <w:r>
        <w:rPr>
          <w:rFonts w:ascii="Calibri" w:cs="Calibri" w:eastAsia="Calibri" w:hAnsi="Calibri"/>
          <w:b/>
          <w:bCs/>
          <w:color w:val="1F3864"/>
          <w:sz w:val="28"/>
          <w:szCs w:val="28"/>
        </w:rPr>
        <w:t xml:space="preserve">8.  Conclusion and Future Work</w:t>
      </w:r>
    </w:p>
    <w:p>
      <w:pPr>
        <w:keepNext w:val="false"/>
        <w:spacing w:after="140" w:line="276"/>
        <w:jc w:val="both"/>
      </w:pPr>
      <w:r>
        <w:rPr>
          <w:rFonts w:ascii="Calibri" w:cs="Calibri" w:eastAsia="Calibri" w:hAnsi="Calibri"/>
          <w:sz w:val="22"/>
          <w:szCs w:val="22"/>
        </w:rPr>
        <w:t xml:space="preserve">This phase implemented, tuned and evaluated six distinct machine learning models spanning classification, clustering, dimensionality reduction and deep learning, all on a single shared preprocessing pipeline and a common evaluation protocol. The Support Vector Machine (RBF) is recommended as the group’s primary model at 96.46% accuracy and 0.9648 macro-F1, with the Multi-Layer Perceptron a close second at 94.67%. The Decision Tree is recommended wherever interpretability outweighs a modest accuracy cost, and PCA offers an optional compression step for resource-constrained deployment.</w:t>
      </w:r>
    </w:p>
    <w:p>
      <w:pPr>
        <w:keepNext w:val="false"/>
        <w:spacing w:after="140" w:line="276"/>
        <w:jc w:val="both"/>
      </w:pPr>
      <w:r>
        <w:rPr>
          <w:rFonts w:ascii="Calibri" w:cs="Calibri" w:eastAsia="Calibri" w:hAnsi="Calibri"/>
          <w:sz w:val="22"/>
          <w:szCs w:val="22"/>
        </w:rPr>
        <w:t xml:space="preserve">Beyond the headline numbers, the phase produced two findings of wider value to the group. The first is methodological: a silent data-quality defect in engineered features propagated into every model undetected until the feature distributions were examined directly, which is a reminder that code running without error is not evidence of correctness. The second is analytical: the twenty-point gap between the linear baseline and the kernel method quantifies precisely how much this problem depends on non-linear structure, a conclusion that would not have been available had the group trained only its strongest models.</w:t>
      </w:r>
    </w:p>
    <w:p>
      <w:pPr>
        <w:keepNext w:val="false"/>
        <w:spacing w:after="200" w:line="276"/>
        <w:jc w:val="both"/>
      </w:pPr>
      <w:r>
        <w:rPr>
          <w:rFonts w:ascii="Calibri" w:cs="Calibri" w:eastAsia="Calibri" w:hAnsi="Calibri"/>
          <w:sz w:val="22"/>
          <w:szCs w:val="22"/>
        </w:rPr>
        <w:t xml:space="preserve">Future work would extend the comparison in three directions: a nested cross-validation to firm up the ranking; a wider, randomised hyperparameter search for the SVM and MLP; and, if the original character images could be obtained, a convolutional network evaluated against the present tabular results.</w:t>
      </w:r>
    </w:p>
    <w:p>
      <w:pPr>
        <w:pStyle w:val="Heading1"/>
        <w:keepNext/>
        <w:spacing w:after="160" w:before="320"/>
      </w:pPr>
      <w:r>
        <w:rPr>
          <w:rFonts w:ascii="Calibri" w:cs="Calibri" w:eastAsia="Calibri" w:hAnsi="Calibri"/>
          <w:b/>
          <w:bCs/>
          <w:color w:val="1F3864"/>
          <w:sz w:val="28"/>
          <w:szCs w:val="28"/>
        </w:rPr>
        <w:t xml:space="preserve">9.  References</w:t>
      </w:r>
    </w:p>
    <w:p>
      <w:pPr>
        <w:keepNext w:val="false"/>
        <w:spacing w:after="140" w:line="276"/>
        <w:jc w:val="left"/>
      </w:pPr>
      <w:r>
        <w:rPr>
          <w:rFonts w:ascii="Calibri" w:cs="Calibri" w:eastAsia="Calibri" w:hAnsi="Calibri"/>
          <w:sz w:val="22"/>
          <w:szCs w:val="22"/>
        </w:rPr>
        <w:t xml:space="preserve">Slate, D. J. (1991). Letter Recognition Data Set. UCI Machine Learning Repository, University of California, Irvine, School of Information and Computer Sciences.</w:t>
      </w:r>
    </w:p>
    <w:p>
      <w:pPr>
        <w:keepNext w:val="false"/>
        <w:spacing w:after="140" w:line="276"/>
        <w:jc w:val="left"/>
      </w:pPr>
      <w:r>
        <w:rPr>
          <w:rFonts w:ascii="Calibri" w:cs="Calibri" w:eastAsia="Calibri" w:hAnsi="Calibri"/>
          <w:sz w:val="22"/>
          <w:szCs w:val="22"/>
        </w:rPr>
        <w:t xml:space="preserve">Frey, P. W., &amp; Slate, D. J. (1991). Letter recognition using Holland-style adaptive classifiers. Machine Learning, 6(2), 161–182.</w:t>
      </w:r>
    </w:p>
    <w:p>
      <w:pPr>
        <w:keepNext w:val="false"/>
        <w:spacing w:after="140" w:line="276"/>
        <w:jc w:val="left"/>
      </w:pPr>
      <w:r>
        <w:rPr>
          <w:rFonts w:ascii="Calibri" w:cs="Calibri" w:eastAsia="Calibri" w:hAnsi="Calibri"/>
          <w:sz w:val="22"/>
          <w:szCs w:val="22"/>
        </w:rPr>
        <w:t xml:space="preserve">Pedregosa, F., et al. (2011). Scikit-learn: Machine Learning in Python. Journal of Machine Learning Research, 12, 2825–2830.</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IT2011 Final Evaluation Report</dc:title>
  <dc:creator>IT2011 Group 2026-Y2-S1-MLB-B11G2-05</dc:creator>
  <cp:lastModifiedBy>Un-named</cp:lastModifiedBy>
  <cp:revision>1</cp:revision>
  <dcterms:created xsi:type="dcterms:W3CDTF">2026-10-04T02:37:22.410Z</dcterms:created>
  <dcterms:modified xsi:type="dcterms:W3CDTF">2026-10-04T02:37:22.417Z</dcterms:modified>
</cp:coreProperties>
</file>

<file path=docProps/custom.xml><?xml version="1.0" encoding="utf-8"?>
<Properties xmlns="http://schemas.openxmlformats.org/officeDocument/2006/custom-properties" xmlns:vt="http://schemas.openxmlformats.org/officeDocument/2006/docPropsVTypes"/>
</file>