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start="0"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0" w:after="200"/>
        <w:jc w:val="righ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3817620</wp:posOffset>
                </wp:positionV>
                <wp:extent cx="7117080" cy="171704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6480" cy="17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f" style="position:absolute;margin-left:25.8pt;margin-top:300.6pt;width:560.3pt;height:135.1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1355" cy="165735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65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55pt;height:130.4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3817620</wp:posOffset>
                </wp:positionV>
                <wp:extent cx="7116445" cy="172910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760" cy="172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207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207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/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984383627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bidi w:val="1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207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center"/>
                                    <w:rPr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eastAsia="" w:cs="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  <w:lang w:bidi="he-IL"/>
                                    </w:rPr>
                                    <w:t>Plain Deep Neural Network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207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207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5.85pt;margin-top:300.6pt;width:560.25pt;height:136.05pt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207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207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/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556123902"/>
                            </w:sdtPr>
                            <w:sdtContent>
                              <w:p>
                                <w:pPr>
                                  <w:pStyle w:val="NoSpacing"/>
                                  <w:bidi w:val="1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207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eastAsia="" w:cs="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  <w:lang w:bidi="he-IL"/>
                              </w:rPr>
                              <w:t>Plain Deep Neural Network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207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207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itle"/>
        <w:bidi w:val="1"/>
        <w:jc w:val="center"/>
        <w:rPr/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  <w:lang w:bidi="he-IL"/>
            </w:rPr>
            <w:t>Creating a Deep Neural Network</w:t>
          </w:r>
        </w:sdtContent>
      </w:sdt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קלאסים שוננים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בניסוי זה ננסה ליצור רשת חדשה לגמרי שתדע לטפל בבעית זיהוי האתרים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האתגר של ליצור רשת חדשה גדול בהרבה מהניסוי בו אנו משתמשים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מכיוון שכעת נצטרף לקבוע גם את עומק הרשת איזה סוגי שכבות לשים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באיזה סדר וכו’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בניוסי זה נשתמש ב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AdaGrad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וב </w:t>
      </w:r>
      <w:r>
        <w:rPr>
          <w:rFonts w:cs="Arial" w:ascii="Arial" w:hAnsi="Arial"/>
          <w:b/>
          <w:bCs/>
          <w:sz w:val="24"/>
          <w:szCs w:val="24"/>
          <w:lang w:bidi="he-IL"/>
        </w:rPr>
        <w:t>c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יצירת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המ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ודל </w:t>
      </w:r>
      <w:r>
        <w:rPr>
          <w:rFonts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קונבולוציה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+ </w:t>
      </w:r>
      <w:r>
        <w:rPr>
          <w:rFonts w:cs="Arial" w:ascii="Arial" w:hAnsi="Arial"/>
          <w:b/>
          <w:bCs/>
          <w:sz w:val="24"/>
          <w:szCs w:val="24"/>
          <w:lang w:bidi="he-IL"/>
        </w:rPr>
        <w:t>relu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MaxPooling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Normalization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 (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Size, learning Rate</w:t>
      </w:r>
      <w:r>
        <w:rPr>
          <w:rFonts w:cs="Arial" w:ascii="Arial" w:hAnsi="Arial"/>
          <w:b/>
          <w:bCs/>
          <w:sz w:val="24"/>
          <w:szCs w:val="24"/>
        </w:rPr>
        <w:t>)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ראשון בניית הרשת הבסיסית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u w:val="none"/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בשלב זה נבנה רשת בסיסית שתצליח לסווג בצורה טובה יותר מבחירות רנדומלית 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70%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יהיה מספק מאוד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).</w:t>
      </w:r>
    </w:p>
    <w:p>
      <w:pPr>
        <w:pStyle w:val="Normal"/>
        <w:bidi w:val="1"/>
        <w:jc w:val="left"/>
        <w:rPr>
          <w:u w:val="none"/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בשלב זה ניצור בעיקר שכבות קנובולוציה 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+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Relu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,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MaxPooling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ושכבות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Dense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שני קביעת המשקלים ההתחלתיים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שלישי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Hyper Parameters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נקבע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בניסוי זה לא נבצע חיפוש מעמיק של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האידאלייים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כמו בניסוי שביצענו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מכיון שבניסוי זה נרצה להתמקד בבניית הרשת על כן נבצע שלושה ניסויים רק כדי למצוא ערכים בהן אנו מצליחים לאמן את הרשת בצורה טובה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רביעי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הוספת שכבות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Normaliztion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חמישי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הוספת שכבות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Dense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שישי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אימון הרשת ושמירת המשקלים שלה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lang w:bidi="he-I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שביעי – הקטנת ה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rFonts w:ascii="Arial" w:hAnsi="Arial" w:cs="Arial"/>
        </w:rPr>
      </w:pPr>
      <w:r>
        <w:rPr>
          <w:rtl w:val="true"/>
          <w:lang w:bidi="he-IL"/>
        </w:rPr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80%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ind w:left="0" w:hanging="0"/>
        <w:jc w:val="righ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/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50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AdaGrad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bidi w:val="1"/>
        <w:spacing w:before="0" w:after="160"/>
        <w:ind w:left="0" w:hanging="0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le">
    <w:name w:val="Title"/>
    <w:basedOn w:val="Normal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eastAsia="" w:cs="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LibreOffice/6.0.7.3$Windows_X86_64 LibreOffice_project/dc89aa7a9eabfd848af146d5086077aeed2ae4a5</Application>
  <Pages>10</Pages>
  <Words>419</Words>
  <Characters>2076</Characters>
  <CharactersWithSpaces>2437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2019-03-02T18:18:14Z</dcterms:modified>
  <cp:revision>45</cp:revision>
  <dc:subject/>
  <dc:title/>
</cp:coreProperties>
</file>