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ARTICOLO</w:t>
      </w:r>
      <w:r>
        <w:rPr>
          <w:color w:val="6B6F76"/>
          <w:sz w:val="18"/>
        </w:rPr>
        <w:t xml:space="preserve">   Alessandria, 30 luglio 2026</w:t>
      </w:r>
    </w:p>
    <w:p>
      <w:pPr>
        <w:spacing w:before="280" w:after="60"/>
      </w:pPr>
      <w:r>
        <w:rPr>
          <w:color w:val="18304E"/>
          <w:sz w:val="44"/>
        </w:rPr>
        <w:t>Sebastia, l’antica Samaria riscritta come “sito palestinese”</w:t>
      </w:r>
    </w:p>
    <w:p>
      <w:pPr>
        <w:spacing w:after="320"/>
      </w:pPr>
      <w:r>
        <w:rPr>
          <w:i/>
          <w:color w:val="6B6F76"/>
          <w:sz w:val="26"/>
        </w:rPr>
        <w:t>Come un sito israelita, ellenistico e romano viene trasformato da Finestre sull’Arte in una categoria politica contemporanea, tra omissioni storiche, periodizzazioni arbitrarie e linguaggio ideologico.</w:t>
      </w:r>
    </w:p>
    <w:p>
      <w:pPr>
        <w:jc w:val="both"/>
      </w:pPr>
      <w:r>
        <w:rPr>
          <w:b w:val="0"/>
          <w:i w:val="0"/>
        </w:rPr>
        <w:t>Il titolo dell’articolo di</w:t>
      </w:r>
      <w:r>
        <w:rPr>
          <w:b/>
          <w:i/>
        </w:rPr>
        <w:t>Finestre sull’Arte</w:t>
      </w:r>
      <w:r>
        <w:rPr>
          <w:b w:val="0"/>
          <w:i w:val="0"/>
        </w:rPr>
        <w:t xml:space="preserve"> — «Il sito palestinese di Sebastia diventa Patrimonio dell’Umanità, malgrado l’opposizione di Israele» — non è una semplice imprecisione geografica. È una tesi politica confezionata come informazione storico-artistica.</w:t>
      </w:r>
    </w:p>
    <w:p>
      <w:pPr>
        <w:jc w:val="both"/>
      </w:pPr>
      <w:r>
        <w:rPr>
          <w:b/>
          <w:i w:val="0"/>
        </w:rPr>
        <w:t>Sebastia</w:t>
      </w:r>
      <w:r>
        <w:rPr>
          <w:b w:val="0"/>
          <w:i w:val="0"/>
        </w:rPr>
        <w:t xml:space="preserve"> è l’antica </w:t>
      </w:r>
      <w:r>
        <w:rPr>
          <w:b/>
          <w:i w:val="0"/>
        </w:rPr>
        <w:t>Samaria</w:t>
      </w:r>
      <w:r>
        <w:rPr>
          <w:b w:val="0"/>
          <w:i w:val="0"/>
        </w:rPr>
        <w:t xml:space="preserve">, capitale del </w:t>
      </w:r>
      <w:r>
        <w:rPr>
          <w:b/>
          <w:i w:val="0"/>
        </w:rPr>
        <w:t>Regno d’Israele settentrionale</w:t>
      </w:r>
      <w:r>
        <w:rPr>
          <w:b w:val="0"/>
          <w:i w:val="0"/>
        </w:rPr>
        <w:t xml:space="preserve"> almeno dal IX secolo a.C. Fu poi centro ellenistico, venne rifondata da Erode il Grande con il nome di </w:t>
      </w:r>
      <w:r>
        <w:rPr>
          <w:b/>
          <w:i w:val="0"/>
        </w:rPr>
        <w:t>Sebaste</w:t>
      </w:r>
      <w:r>
        <w:rPr>
          <w:b w:val="0"/>
          <w:i w:val="0"/>
        </w:rPr>
        <w:t xml:space="preserve">, conobbe una lunga fase romana e attraversò successivamente i periodi bizantino, islamico, crociato, </w:t>
      </w:r>
      <w:r>
        <w:rPr>
          <w:b w:val="0"/>
          <w:i/>
        </w:rPr>
        <w:t>ayyubide</w:t>
      </w:r>
      <w:r>
        <w:rPr>
          <w:b w:val="0"/>
          <w:i w:val="0"/>
        </w:rPr>
        <w:t xml:space="preserve">-mamelucco e ottomano. La stessa rivista, bontà sua, è costretta a ricordarlo nel corpo dell’articolo. Eppure nel titolo tutto questo scompare e il complesso diventa semplicemente un “sito palestinese”, come se un’attribuzione amministrativa contemporanea potesse trasformarsi retroattivamente nell’identità archeologica di </w:t>
      </w:r>
      <w:r>
        <w:rPr>
          <w:b/>
          <w:i w:val="0"/>
        </w:rPr>
        <w:t>tremila anni di storia</w:t>
      </w:r>
      <w:r>
        <w:rPr>
          <w:b w:val="0"/>
          <w:i w:val="0"/>
        </w:rPr>
        <w:t>.</w:t>
      </w:r>
    </w:p>
    <w:p>
      <w:pPr>
        <w:jc w:val="both"/>
      </w:pPr>
      <w:r>
        <w:rPr>
          <w:b w:val="0"/>
          <w:i w:val="0"/>
        </w:rPr>
        <w:t xml:space="preserve">Nella documentazione UNESCO Sebastia compare sotto lo </w:t>
      </w:r>
      <w:r>
        <w:rPr>
          <w:b w:val="0"/>
          <w:i/>
        </w:rPr>
        <w:t>State of Palestine</w:t>
      </w:r>
      <w:r>
        <w:rPr>
          <w:b w:val="0"/>
          <w:i w:val="0"/>
        </w:rPr>
        <w:t xml:space="preserve"> perché la candidatura è stata presentata da quello Stato parte della Convenzione e viene registrata amministrativamente sotto di esso. La stessa UNESCO precisa però che la pubblicazione delle candidature, delle denominazioni e delle mappe non implica alcuna presa di posizione sullo </w:t>
      </w:r>
      <w:r>
        <w:rPr>
          <w:b w:val="0"/>
          <w:i/>
        </w:rPr>
        <w:t>status</w:t>
      </w:r>
      <w:r>
        <w:rPr>
          <w:b w:val="0"/>
          <w:i w:val="0"/>
        </w:rPr>
        <w:t xml:space="preserve"> giuridico o storico di un territorio. Tradurre quindi </w:t>
      </w:r>
      <w:r>
        <w:rPr>
          <w:b w:val="0"/>
          <w:i/>
        </w:rPr>
        <w:t>State Party: State of Palestine</w:t>
      </w:r>
      <w:r>
        <w:rPr>
          <w:b w:val="0"/>
          <w:i w:val="0"/>
        </w:rPr>
        <w:t xml:space="preserve"> nell’etichetta storica “sito palestinese” è un’operazione giornalisticamente ipocrita.</w:t>
      </w:r>
    </w:p>
    <w:p>
      <w:pPr>
        <w:jc w:val="both"/>
      </w:pPr>
      <w:r>
        <w:rPr>
          <w:b w:val="0"/>
          <w:i w:val="0"/>
        </w:rPr>
        <w:t>Poi arriva la perla del “</w:t>
      </w:r>
      <w:r>
        <w:rPr>
          <w:b/>
          <w:i w:val="0"/>
        </w:rPr>
        <w:t>periodo palestinese contemporaneo</w:t>
      </w:r>
      <w:r>
        <w:rPr>
          <w:b w:val="0"/>
          <w:i w:val="0"/>
        </w:rPr>
        <w:t>”. Che cosa sarebbe esattamente? Inserita nella stessa sequenza dei periodi ellenistico, romano, bizantino e ottomano, l’espressione sembra inventare una categoria archeologico-storiografica autonoma. Se si fosse inteso l’attuale presenza palestinese nel villaggio di Sebastia, sarebbe bastato scrivere “fino all’odierno insediamento palestinese” oppure “fino alla fase contemporanea del villaggio”. Parlare invece di “periodo palestinese contemporaneo” dissolve sotto un’unica etichetta nazionale il mandato britannico, l’amministrazione giordana, la guerra del 1967, gli accordi di Oslo e la situazione attuale. Da una rivista che si occupa di arte, storia e archeologia sarebbe lecito aspettarsi almeno la capacità di distinguere una periodizzazione storica da una formula politico-identitaria.</w:t>
      </w:r>
    </w:p>
    <w:p>
      <w:pPr>
        <w:jc w:val="both"/>
      </w:pPr>
      <w:r>
        <w:rPr>
          <w:b w:val="0"/>
          <w:i w:val="0"/>
        </w:rPr>
        <w:t xml:space="preserve">Persino la frase sulle “testimonianze archeologiche della successiva occupazione da parte di diverse civiltà” denuncia una traduzione meccanica e molto poco sorvegliata. Nel lessico archeologico inglese </w:t>
      </w:r>
      <w:r>
        <w:rPr>
          <w:b w:val="0"/>
          <w:i/>
        </w:rPr>
        <w:t>occupation</w:t>
      </w:r>
      <w:r>
        <w:rPr>
          <w:b w:val="0"/>
          <w:i w:val="0"/>
        </w:rPr>
        <w:t xml:space="preserve"> può indicare frequentazione, insediamento o presenza umana; in italiano, soprattutto dopo aver appena parlato di </w:t>
      </w:r>
      <w:r>
        <w:rPr>
          <w:b/>
          <w:i w:val="0"/>
        </w:rPr>
        <w:t>Cisgiordania occupata</w:t>
      </w:r>
      <w:r>
        <w:rPr>
          <w:b w:val="0"/>
          <w:i w:val="0"/>
        </w:rPr>
        <w:t>, la parola assume inevitabilmente un significato politico-militare. Sarebbe bastato scrivere “la successione di diverse civiltà e fasi di insediamento”.</w:t>
      </w:r>
    </w:p>
    <w:p>
      <w:pPr>
        <w:jc w:val="both"/>
      </w:pPr>
      <w:r>
        <w:rPr>
          <w:b w:val="0"/>
          <w:i w:val="0"/>
        </w:rPr>
        <w:t>Altrettanto orientato è il riferimento all’</w:t>
      </w:r>
      <w:r>
        <w:rPr>
          <w:b/>
          <w:i w:val="0"/>
        </w:rPr>
        <w:t>opposizione israeliana</w:t>
      </w:r>
      <w:r>
        <w:rPr>
          <w:b w:val="0"/>
          <w:i w:val="0"/>
        </w:rPr>
        <w:t>. La rivista accenna genericamente alla denuncia di una “strumentalizzazione del patrimonio culturale”, ma non spiega davvero il punto della contestazione. Israele sostiene che la candidatura fosse parte di una campagna unilaterale volta a oscurare la storia ebraica e cristiana del sito. Si può condividere oppure respingere questa posizione, ma ometterne la sostanza permette di presentare Israele come una manica di trogloditi contrari alla tutela di un complesso archeologico, quando la contestazione riguardava precisamente la sua politicizzazione e la narrazione storica adottata.</w:t>
      </w:r>
    </w:p>
    <w:p>
      <w:pPr>
        <w:jc w:val="both"/>
      </w:pPr>
      <w:r>
        <w:rPr>
          <w:b w:val="0"/>
          <w:i w:val="0"/>
        </w:rPr>
        <w:t xml:space="preserve">E ancora. La formula “nella Cisgiordania occupata da Israele” viene introdotta come se fosse una semplice indicazione geografica. È la terminologia adottata dalle Nazioni Unite e da gran parte della comunità internazionale, ma è anche una qualificazione giuridica e politica contestata da Israele, che considera lo </w:t>
      </w:r>
      <w:r>
        <w:rPr>
          <w:b w:val="0"/>
          <w:i/>
        </w:rPr>
        <w:t>status</w:t>
      </w:r>
      <w:r>
        <w:rPr>
          <w:b w:val="0"/>
          <w:i w:val="0"/>
        </w:rPr>
        <w:t xml:space="preserve"> definitivo di quei territori </w:t>
      </w:r>
      <w:r>
        <w:rPr>
          <w:b/>
          <w:i w:val="0"/>
        </w:rPr>
        <w:t>irrisolto e oggetto di negoziato</w:t>
      </w:r>
      <w:r>
        <w:rPr>
          <w:b w:val="0"/>
          <w:i w:val="0"/>
        </w:rPr>
        <w:t>. Una formulazione giornalisticamente completa avrebbe potuto scrivere “in Cisgiordania, territorio considerato occupato dalla comunità internazionale e conteso da Israele e palestinesi”. Utilizzare invece soltanto una delle definizioni possibili, senza attribuirla né contestualizzarla, contribuisce alla costruzione ideologica complessiva dell’articolo.</w:t>
      </w:r>
    </w:p>
    <w:p>
      <w:pPr>
        <w:jc w:val="both"/>
      </w:pPr>
      <w:r>
        <w:rPr>
          <w:b w:val="0"/>
          <w:i w:val="0"/>
        </w:rPr>
        <w:t xml:space="preserve">Il problema, dunque, non è che </w:t>
      </w:r>
      <w:r>
        <w:rPr>
          <w:b w:val="0"/>
          <w:i/>
        </w:rPr>
        <w:t>Finestre sull’Arte</w:t>
      </w:r>
      <w:r>
        <w:rPr>
          <w:b w:val="0"/>
          <w:i w:val="0"/>
        </w:rPr>
        <w:t xml:space="preserve"> ignori completamente la storia di Sebastia. La cita, perché sarebbe impossibile non farlo, e subito dopo la riassorbe dentro una marcata cornice ideologica precostituita: “sito palestinese”, “Cisgiordania occupata”, “periodo palestinese contemporaneo”, “opposizione di Israele” privata delle sue motivazioni. Non occorre falsificare apertamente un fatto quando è sufficiente scegliere le parole, distribuire le informazioni e omettere il contesto in modo che il lettore arrivi docilmente alla conclusione desiderata. E questo sarebbe un giornalismo che apre le finestre sulla cultura, sulla storia e sull’arte?</w:t>
      </w:r>
    </w:p>
    <w:p>
      <w:pPr>
        <w:spacing w:before="240"/>
      </w:pPr>
      <w:r>
        <w:rPr>
          <w:color w:val="224774"/>
        </w:rPr>
        <w:t>https://www.italiaisraeleal.it/notizie/sebastia-lantica-samaria-riscritta/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Sebastia, l’antica Samaria riscritta come “sito palestinese”</dc:title>
  <dc:subject>Articolo</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