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pPr>
      <w:r>
        <w:rPr>
          <w:b/>
          <w:color w:val="B12218"/>
          <w:sz w:val="18"/>
        </w:rPr>
        <w:t>COMUNICATO STAMPA</w:t>
      </w:r>
      <w:r>
        <w:rPr>
          <w:color w:val="6B6F76"/>
          <w:sz w:val="18"/>
        </w:rPr>
        <w:t xml:space="preserve">   Alessandria, 12 ottobre 2026</w:t>
      </w:r>
    </w:p>
    <w:p>
      <w:pPr>
        <w:spacing w:before="280" w:after="60"/>
      </w:pPr>
      <w:r>
        <w:rPr>
          <w:color w:val="18304E"/>
          <w:sz w:val="44"/>
        </w:rPr>
        <w:t>Condanna del corteo con il Sudario di Gaza ad Alessandria</w:t>
      </w:r>
    </w:p>
    <w:p>
      <w:pPr>
        <w:spacing w:after="320"/>
      </w:pPr>
      <w:r>
        <w:rPr>
          <w:i/>
          <w:color w:val="6B6F76"/>
          <w:sz w:val="26"/>
        </w:rPr>
        <w:t>L’Associazione Italia Israele di Alessandria condanna la rappresentazione del conflitto proposta per il corteo del 10 ottobre.</w:t>
      </w:r>
    </w:p>
    <w:p>
      <w:pPr>
        <w:jc w:val="both"/>
      </w:pPr>
      <w:r>
        <w:rPr>
          <w:b w:val="0"/>
          <w:i w:val="0"/>
        </w:rPr>
        <w:t>L’Associazione Italia Israele di Alessandria esprime una ferma condanna della rappresentazione del conflitto proposta in occasione del corteo con il “Sudario di Gaza”, svoltosi sabato 10 ottobre in città su iniziativa del Coordinamento provinciale per la Palestina.</w:t>
      </w:r>
    </w:p>
    <w:p>
      <w:pPr>
        <w:jc w:val="both"/>
      </w:pPr>
      <w:r>
        <w:rPr>
          <w:b w:val="0"/>
          <w:i w:val="0"/>
        </w:rPr>
        <w:t>A tre giorni dall’anniversario dei massacri del 7 ottobre 2023, la presentazione dell’evento attribuiva all’esercito israeliano la morte dei 18.457 bambini e adolescenti i cui nomi figurano sul telo, senza ricordare gli attacchi terroristici di Hamas, le vittime israeliane e gli ostaggi rapiti. Il richiamo dei promotori a tutti i bambini vittime delle guerre non colma questa omissione nel racconto concreto del conflitto.</w:t>
      </w:r>
    </w:p>
    <w:p>
      <w:pPr>
        <w:jc w:val="both"/>
      </w:pPr>
      <w:r>
        <w:rPr>
          <w:b w:val="0"/>
          <w:i w:val="0"/>
        </w:rPr>
        <w:t>Hamas ha assassinato civili, ucciso bambini e rapito intere famiglie. Le sue responsabilità devono essere ricordate anche quando si denuncia la sofferenza della popolazione di Gaza. Escluderle dalla presentazione di un’iniziativa pubblica significa proporre ai cittadini una ricostruzione mutilata, nella quale le conseguenze della guerra vengono separate dagli atti che hanno aperto questa fase del conflitto.</w:t>
      </w:r>
    </w:p>
    <w:p>
      <w:pPr>
        <w:jc w:val="both"/>
      </w:pPr>
      <w:r>
        <w:rPr>
          <w:b w:val="0"/>
          <w:i w:val="0"/>
        </w:rPr>
        <w:t>L’associazione richiama inoltre la necessità di indicare con chiarezza la provenienza e i limiti dei dati. L’elenco del sudario deriva dal Ministero della sanità di Gaza, appartenente all’apparato governativo controllato da Hamas, che nei suoi conteggi complessivi non distingue tra civili e combattenti. Il totale dei morti non può quindi assolutamente essere presentato come il numero delle sole vittime civili. Un elenco di nomi, inoltre, non basta a stabilire come siano morte le singole persone e chi ne sia responsabile.</w:t>
      </w:r>
    </w:p>
    <w:p>
      <w:pPr>
        <w:jc w:val="both"/>
      </w:pPr>
      <w:r>
        <w:rPr>
          <w:b w:val="0"/>
          <w:i w:val="0"/>
        </w:rPr>
        <w:t>La sofferenza dei bambini merita rispetto e una ricostruzione molto più accurata. Utilizzarla per una rappresentazione nella quale Israele è chiamato a rispondere di tutto e Hamas scompare dalle responsabilità costituisce, a giudizio dell’associazione, una strumentalizzazione politica del dolore. La gravità delle immagini e l’emozione che suscitano non dispensano chi promuove un evento pubblico dal dovere di informare correttamente.</w:t>
      </w:r>
    </w:p>
    <w:p>
      <w:pPr>
        <w:jc w:val="both"/>
      </w:pPr>
      <w:r>
        <w:rPr>
          <w:b w:val="0"/>
          <w:i w:val="0"/>
        </w:rPr>
        <w:t>Anche l’uso della parola “bambini” richiede precisione. Nel linguaggio comune richiama soprattutto l’infanzia, mentre nei conteggi internazionali comprende tutti i minori di diciotto anni, inclusi gli adolescenti di quattordici, quindici, sedici e diciassette anni. Le Nazioni Unite hanno documentato casi di reclutamento e utilizzo di minori da parte di Hamas, oltre a campi con contenuti e attività militari rivolti anche a quattordicenni. La sola età, quindi, non basta a stabilire se una persona fosse un civile o fosse coinvolta nelle attività di un gruppo armato. Anche la responsabilità di Hamas nell’esporre adolescenti alla guerra dovrebbe trovare spazio nel racconto proposto ai cittadini.</w:t>
      </w:r>
    </w:p>
    <w:p>
      <w:pPr>
        <w:jc w:val="both"/>
      </w:pPr>
      <w:r>
        <w:rPr>
          <w:b w:val="0"/>
          <w:i w:val="0"/>
        </w:rPr>
        <w:t>Preoccupa inoltre la presenza di bambini al corteo, documentata anche dalla cronaca della manifestazione. Il loro coinvolgimento rende la scena ancora più toccante, ma impone agli adulti una responsabilità educativa maggiore. Riteniamo inadeguato coinvolgerli in una manifestazione che affronta un conflitto tanto complesso attraverso una rappresentazione emotiva e unilaterale. Nei più piccoli, la partecipazione al dolore delle vittime può facilmente precedere la comprensione del contesto. Il rischio concreto è che il messaggio ricevuto si riduca a una divisione tra buoni e cattivi, consolidando un pregiudizio verso Israele prima che siano maturati gli strumenti per valutare autonomamente fatti e responsabilità.</w:t>
      </w:r>
    </w:p>
    <w:p>
      <w:pPr>
        <w:jc w:val="both"/>
      </w:pPr>
      <w:r>
        <w:rPr>
          <w:b w:val="0"/>
          <w:i w:val="0"/>
        </w:rPr>
        <w:t>La stessa didattica della Shoah richiede attenzione all’età, alla maturità e alla preparazione degli alunni, con percorsi graduali che aiutino a comprendere gli eventi senza affidarsi soltanto al loro impatto emotivo. Questa attenzione dovrebbe valere anche quando si affronta una guerra contemporanea. Scuole e associazioni che richiamano continuamente il valore del pensiero critico dovrebbero interrogarsi sul rischio di anticipare nei bambini un giudizio politico che non hanno ancora gli strumenti per formulare autonomamente.</w:t>
      </w:r>
    </w:p>
    <w:p>
      <w:pPr>
        <w:jc w:val="both"/>
      </w:pPr>
      <w:r>
        <w:rPr>
          <w:b w:val="0"/>
          <w:i w:val="0"/>
        </w:rPr>
        <w:t>È sempre presente anche il rischio di alimentare la demonizzazione dello Stato ebraico. La definizione operativa IHRA richiama, tra gli esempi da valutare nel loro contesto, l’uso di simboli dell’antisemitismo classico per rappresentare Israele o gli israeliani. L’associazione invita pertanto a vigilare sulla trasformazione di accuse relative a fatti e responsabilità specifiche nell’immagine di Israele come assassino per natura di bambini e innocenti.</w:t>
      </w:r>
    </w:p>
    <w:p>
      <w:pPr>
        <w:jc w:val="both"/>
      </w:pPr>
      <w:r>
        <w:rPr>
          <w:b w:val="0"/>
          <w:i w:val="0"/>
        </w:rPr>
        <w:t>Ai promotori e alle realtà che hanno sostenuto la divulgazione dell’iniziativa chiediamo di rendere espliciti la fonte e i criteri dei dati utilizzati e di includere nella ricostruzione le responsabilità di Hamas e le vittime del 7 ottobre. Condanniamo la scelta di offrire alla città una narrazione che rende visibile un dolore e ne lascia fuori un altro, proprio nei giorni dell’anniversario dei massacri.</w:t>
      </w:r>
    </w:p>
    <w:p>
      <w:pPr>
        <w:spacing w:before="240"/>
      </w:pPr>
      <w:r>
        <w:rPr>
          <w:color w:val="224774"/>
        </w:rPr>
        <w:t>https://www.italiaisraeleal.it/notizie/condanna-del-corteo-con-il-sudario-di-gaza/</w:t>
      </w:r>
    </w:p>
    <w:p>
      <w:r>
        <w:rPr>
          <w:sz w:val="20"/>
        </w:rPr>
        <w:t>Contatti per la stampa: stampa@italiaisraeleal.it</w:t>
      </w:r>
    </w:p>
    <w:sectPr w:rsidR="00FC693F" w:rsidRPr="0006063C" w:rsidSect="00034616">
      <w:headerReference w:type="default" r:id="rId9"/>
      <w:footerReference w:type="default" r:id="rId10"/>
      <w:pgSz w:w="11906" w:h="16838"/>
      <w:pgMar w:top="1134"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B6F76"/>
        <w:sz w:val="16"/>
      </w:rPr>
      <w:t>stampa@italiaisraeleal.it · www.italiaisraeleal.it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2520000" cy="889200"/>
          <wp:docPr id="1" name="Picture 1"/>
          <wp:cNvGraphicFramePr>
            <a:graphicFrameLocks noChangeAspect="1"/>
          </wp:cNvGraphicFramePr>
          <a:graphic>
            <a:graphicData uri="http://schemas.openxmlformats.org/drawingml/2006/picture">
              <pic:pic>
                <pic:nvPicPr>
                  <pic:cNvPr id="0" name="_logo-word.png"/>
                  <pic:cNvPicPr/>
                </pic:nvPicPr>
                <pic:blipFill>
                  <a:blip r:embed="rId1"/>
                  <a:stretch>
                    <a:fillRect/>
                  </a:stretch>
                </pic:blipFill>
                <pic:spPr>
                  <a:xfrm>
                    <a:off x="0" y="0"/>
                    <a:ext cx="2520000" cy="8892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Condanna del corteo con il Sudario di Gaza ad Alessandria</dc:title>
  <dc:subject>Comunicato stampa</dc:subject>
  <dc:creator>Associazione Italia Israele • Alessandria</dc:creator>
  <cp:keywords/>
  <dc:description>generated by python-docx</dc:description>
  <cp:lastModifiedBy/>
  <cp:revision>1</cp:revision>
  <dcterms:created xsi:type="dcterms:W3CDTF">2013-12-23T23:15:00Z</dcterms:created>
  <dcterms:modified xsi:type="dcterms:W3CDTF">2013-12-23T23:15:00Z</dcterms:modified>
  <cp:category/>
</cp:coreProperties>
</file>