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СтройКонтроль: система и модель данных</w:t>
      </w:r>
    </w:p>
    <w:p>
      <w:pPr>
        <w:spacing w:after="180"/>
      </w:pPr>
      <w:r>
        <w:rPr>
          <w:color w:val="5B6778"/>
          <w:sz w:val="18"/>
        </w:rPr>
        <w:t>Работающий демонстрационный стенд ЛЦТ 2026  ·  29 сентября 2026 года</w:t>
      </w:r>
    </w:p>
    <w:p>
      <w:r>
        <w:rPr>
          <w:b/>
        </w:rPr>
        <w:t>СтройКонтроль</w:t>
      </w:r>
      <w:r>
        <w:t xml:space="preserve"> объединяет несколько стройобъектов, планы работ, фотографии камер и осмотры. Сервис автоматически сопоставляет видимые признаки с этапами и показывает дневные оценки на общем дашборде. Любой вывод можно открыть до проверки и исходного кадра.</w:t>
      </w:r>
    </w:p>
    <w:p>
      <w:pPr>
        <w:pStyle w:val="Heading1"/>
      </w:pPr>
      <w:r>
        <w:t>Как работает проверка</w:t>
      </w:r>
    </w:p>
    <w:p>
      <w:pPr>
        <w:spacing w:after="80"/>
        <w:ind w:left="312" w:hanging="153"/>
      </w:pPr>
      <w:r>
        <w:t xml:space="preserve">1.  </w:t>
      </w:r>
      <w:r>
        <w:t>Пользователь выбирает объект и контрольное время, затем загружает фотографии по камерам. Примерные фото заполняют те же слоты; анализ начинается только после подтверждения.</w:t>
      </w:r>
    </w:p>
    <w:p>
      <w:pPr>
        <w:spacing w:after="80"/>
        <w:ind w:left="312" w:hanging="153"/>
      </w:pPr>
      <w:r>
        <w:t xml:space="preserve">2.  </w:t>
      </w:r>
      <w:r>
        <w:t>FastAPI сохраняет оригиналы в S3 и контекст плана на момент проверки. GateLLM анализирует снимки; ответ, ошибки и повторы сохраняются в PostgreSQL.</w:t>
      </w:r>
    </w:p>
    <w:p>
      <w:pPr>
        <w:spacing w:after="80"/>
        <w:ind w:left="312" w:hanging="153"/>
      </w:pPr>
      <w:r>
        <w:t xml:space="preserve">3.  </w:t>
      </w:r>
      <w:r>
        <w:t>Правила сопоставляют признаки с этапами плана, учитывают повторные интервалы и осмотры. Для этапов по камерам два положительных интервала подтверждают признак; три пригодные проверки без него дают «возможное отклонение».</w:t>
      </w:r>
    </w:p>
    <w:p>
      <w:pPr>
        <w:spacing w:after="80"/>
        <w:ind w:left="312" w:hanging="153"/>
      </w:pPr>
      <w:r>
        <w:t xml:space="preserve">4.  </w:t>
      </w:r>
      <w:r>
        <w:t>Дашборд собирает оценки по объектам. Отдельное сравнение кадров одной камеры показывает отсутствие видимых перемещений техники за несколько дней и ведёт к подтверждающим фото.</w:t>
      </w:r>
    </w:p>
    <w:p>
      <w:pPr>
        <w:pStyle w:val="Heading1"/>
      </w:pPr>
      <w:r>
        <w:t>Что доступно в интерфейсе</w:t>
      </w:r>
    </w:p>
    <w:p>
      <w:pPr>
        <w:pStyle w:val="ListBullet"/>
      </w:pPr>
      <w:r>
        <w:t>Портфель объектов со сводкой по плану, возможным отклонениям и технике.</w:t>
      </w:r>
    </w:p>
    <w:p>
      <w:pPr>
        <w:pStyle w:val="ListBullet"/>
      </w:pPr>
      <w:r>
        <w:t>Планы этапов со сроками, камеры с паспортом ракурса, история проверок и ручные осмотры.</w:t>
      </w:r>
    </w:p>
    <w:p>
      <w:pPr>
        <w:pStyle w:val="ListBullet"/>
      </w:pPr>
      <w:r>
        <w:t>Объяснение оценки по каждому дню и переход к исходным фотографиям.</w:t>
      </w:r>
    </w:p>
    <w:p>
      <w:pPr>
        <w:pStyle w:val="Heading1"/>
      </w:pPr>
      <w:r>
        <w:t>Как понимать сигналы</w:t>
      </w:r>
    </w:p>
    <w:p>
      <w:r>
        <w:t>«Возможное отклонение» означает отсутствие видимых признаков этапа на пригодных снимках, а не доказанную остановку работ. Неизменное положение техники на отдельных кадрах не доказывает непрерывный простой. Эти сигналы помогают выбрать объект для проверки.</w:t>
      </w:r>
    </w:p>
    <w:p>
      <w:pPr>
        <w:spacing w:before="140"/>
      </w:pPr>
      <w:r>
        <w:rPr>
          <w:b/>
        </w:rPr>
        <w:t xml:space="preserve">Текущая архитектура  </w:t>
      </w:r>
      <w:r>
        <w:t>React и Vite → Caddy и Nginx → FastAPI; данные — PostgreSQL, файлы — S3, анализ — GateLLM, почта — Rusender.</w:t>
      </w:r>
    </w:p>
    <w:p>
      <w:r>
        <w:br w:type="page"/>
      </w:r>
    </w:p>
    <w:p>
      <w:pPr>
        <w:pStyle w:val="Heading1"/>
      </w:pPr>
      <w:r>
        <w:t>Модель данных</w:t>
      </w:r>
    </w:p>
    <w:p>
      <w:r>
        <w:t>Физическая схема PostgreSQL содержит 15 таблиц. Объект принадлежит пользователю; планы, проверки, осмотры и оценки связаны с объектом. Исходные файлы находятся в S3, а база хранит их ключи и метаданные.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786"/>
            <w:shd w:fill="24334A"/>
            <w:tcMar>
              <w:top w:w="110" w:type="dxa"/>
              <w:start w:w="95" w:type="dxa"/>
              <w:bottom w:w="110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3175"/>
            <w:shd w:fill="24334A"/>
            <w:tcMar>
              <w:top w:w="110" w:type="dxa"/>
              <w:start w:w="95" w:type="dxa"/>
              <w:bottom w:w="110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Таблицы</w:t>
            </w:r>
          </w:p>
        </w:tc>
        <w:tc>
          <w:tcPr>
            <w:tcW w:type="dxa" w:w="4847"/>
            <w:shd w:fill="24334A"/>
            <w:tcMar>
              <w:top w:w="110" w:type="dxa"/>
              <w:start w:w="95" w:type="dxa"/>
              <w:bottom w:w="110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Назначение и связи</w:t>
            </w:r>
          </w:p>
        </w:tc>
      </w:tr>
      <w:tr>
        <w:trPr>
          <w:cantSplit/>
        </w:trPr>
        <w:tc>
          <w:tcPr>
            <w:tcW w:type="dxa" w:w="17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D2128"/>
                <w:sz w:val="18"/>
              </w:rPr>
              <w:t>Доступ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D2128"/>
                <w:sz w:val="18"/>
              </w:rPr>
              <w:t>users</w:t>
            </w:r>
            <w:r>
              <w:br/>
            </w:r>
            <w:r>
              <w:rPr>
                <w:rFonts w:ascii="Aptos" w:hAnsi="Aptos"/>
                <w:b w:val="0"/>
                <w:color w:val="1D2128"/>
                <w:sz w:val="18"/>
              </w:rPr>
              <w:t>user_sessions</w:t>
            </w:r>
            <w:r>
              <w:br/>
            </w:r>
            <w:r>
              <w:rPr>
                <w:rFonts w:ascii="Aptos" w:hAnsi="Aptos"/>
                <w:b w:val="0"/>
                <w:color w:val="1D2128"/>
                <w:sz w:val="18"/>
              </w:rPr>
              <w:t>welcome_emails</w:t>
            </w:r>
          </w:p>
        </w:tc>
        <w:tc>
          <w:tcPr>
            <w:tcW w:type="dxa" w:w="48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D2128"/>
                <w:sz w:val="18"/>
              </w:rPr>
              <w:t>Пользователь владеет объектами. Сессии и попытки отправки приветственного письма связаны с пользователем.</w:t>
            </w:r>
          </w:p>
        </w:tc>
      </w:tr>
      <w:tr>
        <w:trPr>
          <w:cantSplit/>
        </w:trPr>
        <w:tc>
          <w:tcPr>
            <w:tcW w:type="dxa" w:w="17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D2128"/>
                <w:sz w:val="18"/>
              </w:rPr>
              <w:t>Объекты и камеры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D2128"/>
                <w:sz w:val="18"/>
              </w:rPr>
              <w:t>objects</w:t>
            </w:r>
            <w:r>
              <w:br/>
            </w:r>
            <w:r>
              <w:rPr>
                <w:rFonts w:ascii="Aptos" w:hAnsi="Aptos"/>
                <w:b w:val="0"/>
                <w:color w:val="1D2128"/>
                <w:sz w:val="18"/>
              </w:rPr>
              <w:t>cameras</w:t>
            </w:r>
          </w:p>
        </w:tc>
        <w:tc>
          <w:tcPr>
            <w:tcW w:type="dxa" w:w="48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D2128"/>
                <w:sz w:val="18"/>
              </w:rPr>
              <w:t>Объект содержит камеры; у каждой камеры есть зона наблюдения и версия паспорта ракурса.</w:t>
            </w:r>
          </w:p>
        </w:tc>
      </w:tr>
      <w:tr>
        <w:trPr>
          <w:cantSplit/>
        </w:trPr>
        <w:tc>
          <w:tcPr>
            <w:tcW w:type="dxa" w:w="17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D2128"/>
                <w:sz w:val="18"/>
              </w:rPr>
              <w:t>План и расписание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D2128"/>
                <w:sz w:val="18"/>
              </w:rPr>
              <w:t>plan_items</w:t>
            </w:r>
            <w:r>
              <w:br/>
            </w:r>
            <w:r>
              <w:rPr>
                <w:rFonts w:ascii="Aptos" w:hAnsi="Aptos"/>
                <w:b w:val="0"/>
                <w:color w:val="1D2128"/>
                <w:sz w:val="18"/>
              </w:rPr>
              <w:t>plan_item_revisions</w:t>
            </w:r>
            <w:r>
              <w:br/>
            </w:r>
            <w:r>
              <w:rPr>
                <w:rFonts w:ascii="Aptos" w:hAnsi="Aptos"/>
                <w:b w:val="0"/>
                <w:color w:val="1D2128"/>
                <w:sz w:val="18"/>
              </w:rPr>
              <w:t>object_schedules</w:t>
            </w:r>
          </w:p>
        </w:tc>
        <w:tc>
          <w:tcPr>
            <w:tcW w:type="dxa" w:w="48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D2128"/>
                <w:sz w:val="18"/>
              </w:rPr>
              <w:t>Этапы относятся к объекту и могут группироваться. Правки этапов версионируются; расписание задаёт контрольные интервалы и пороги.</w:t>
            </w:r>
          </w:p>
        </w:tc>
      </w:tr>
      <w:tr>
        <w:trPr>
          <w:cantSplit/>
        </w:trPr>
        <w:tc>
          <w:tcPr>
            <w:tcW w:type="dxa" w:w="17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D2128"/>
                <w:sz w:val="18"/>
              </w:rPr>
              <w:t>Проверки и AI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D2128"/>
                <w:sz w:val="18"/>
              </w:rPr>
              <w:t>snapshots</w:t>
            </w:r>
            <w:r>
              <w:br/>
            </w:r>
            <w:r>
              <w:rPr>
                <w:rFonts w:ascii="Aptos" w:hAnsi="Aptos"/>
                <w:b w:val="0"/>
                <w:color w:val="1D2128"/>
                <w:sz w:val="18"/>
              </w:rPr>
              <w:t>snapshot_images</w:t>
            </w:r>
            <w:r>
              <w:br/>
            </w:r>
            <w:r>
              <w:rPr>
                <w:rFonts w:ascii="Aptos" w:hAnsi="Aptos"/>
                <w:b w:val="0"/>
                <w:color w:val="1D2128"/>
                <w:sz w:val="18"/>
              </w:rPr>
              <w:t>analysis_attempts</w:t>
            </w:r>
          </w:p>
        </w:tc>
        <w:tc>
          <w:tcPr>
            <w:tcW w:type="dxa" w:w="48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D2128"/>
                <w:sz w:val="18"/>
              </w:rPr>
              <w:t>Проверка содержит фото по камерам и попытки AI-анализа. Сохраняются ссылки на файлы, ответы модели и ошибки.</w:t>
            </w:r>
          </w:p>
        </w:tc>
      </w:tr>
      <w:tr>
        <w:trPr>
          <w:cantSplit/>
        </w:trPr>
        <w:tc>
          <w:tcPr>
            <w:tcW w:type="dxa" w:w="17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D2128"/>
                <w:sz w:val="18"/>
              </w:rPr>
              <w:t>Осмотры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D2128"/>
                <w:sz w:val="18"/>
              </w:rPr>
              <w:t>inspections</w:t>
            </w:r>
            <w:r>
              <w:br/>
            </w:r>
            <w:r>
              <w:rPr>
                <w:rFonts w:ascii="Aptos" w:hAnsi="Aptos"/>
                <w:b w:val="0"/>
                <w:color w:val="1D2128"/>
                <w:sz w:val="18"/>
              </w:rPr>
              <w:t>inspection_attachments</w:t>
            </w:r>
          </w:p>
        </w:tc>
        <w:tc>
          <w:tcPr>
            <w:tcW w:type="dxa" w:w="48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D2128"/>
                <w:sz w:val="18"/>
              </w:rPr>
              <w:t>Осмотр привязан к объекту и этапу; вложения хранятся в S3. Вердикт человека учитывается в оценке.</w:t>
            </w:r>
          </w:p>
        </w:tc>
      </w:tr>
      <w:tr>
        <w:trPr>
          <w:cantSplit/>
        </w:trPr>
        <w:tc>
          <w:tcPr>
            <w:tcW w:type="dxa" w:w="17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D2128"/>
                <w:sz w:val="18"/>
              </w:rPr>
              <w:t>Оценки и техника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D2128"/>
                <w:sz w:val="18"/>
              </w:rPr>
              <w:t>day_evaluations</w:t>
            </w:r>
            <w:r>
              <w:br/>
            </w:r>
            <w:r>
              <w:rPr>
                <w:rFonts w:ascii="Aptos" w:hAnsi="Aptos"/>
                <w:b w:val="0"/>
                <w:color w:val="1D2128"/>
                <w:sz w:val="18"/>
              </w:rPr>
              <w:t>temporal_comparisons</w:t>
            </w:r>
          </w:p>
        </w:tc>
        <w:tc>
          <w:tcPr>
            <w:tcW w:type="dxa" w:w="48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D2128"/>
                <w:sz w:val="18"/>
              </w:rPr>
              <w:t>Дневная оценка хранит результат и версии правил. Сравнение ссылается на два кадра одной камеры.</w:t>
            </w:r>
          </w:p>
        </w:tc>
      </w:tr>
    </w:tbl>
    <w:p>
      <w:pPr>
        <w:pStyle w:val="Heading1"/>
      </w:pPr>
      <w:r>
        <w:t>Важные связи</w:t>
      </w:r>
    </w:p>
    <w:p>
      <w:r>
        <w:t>users → objects → cameras, plan_items, snapshots, inspections, day_evaluations. snapshots → snapshot_images и analysis_attempts; snapshot_images → cameras. temporal_comparisons связывает два снимка одной камеры.</w:t>
      </w:r>
    </w:p>
    <w:p>
      <w:pPr>
        <w:pStyle w:val="Heading1"/>
      </w:pPr>
      <w:r>
        <w:t>Воспроизводимость результата</w:t>
      </w:r>
    </w:p>
    <w:p>
      <w:r>
        <w:t>Проверка сохраняет использованный план, а оценка дня — снимки расписания и версию правил. Попытка анализа хранит провайдера, модель, версию промпта и ответ. Поэтому статус можно сверить с теми данными, по которым он был получен.</w:t>
      </w:r>
    </w:p>
    <w:p>
      <w:pPr>
        <w:spacing w:before="160"/>
      </w:pPr>
      <w:r>
        <w:rPr>
          <w:b/>
        </w:rPr>
        <w:t xml:space="preserve">Демо  </w:t>
      </w:r>
      <w:r>
        <w:t>https://pavelpetrov.tech  ·  вход demo/demo</w:t>
      </w:r>
    </w:p>
    <w:sectPr w:rsidR="00FC693F" w:rsidRPr="0006063C" w:rsidSect="00034616"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D21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312" w:hanging="153"/>
      <w:contextualSpacing/>
    </w:pPr>
    <w:rPr>
      <w:rFonts w:ascii="Aptos" w:hAnsi="Aptos"/>
      <w:color w:val="1D2128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312" w:hanging="153"/>
      <w:contextualSpacing/>
    </w:pPr>
    <w:rPr>
      <w:rFonts w:ascii="Aptos" w:hAnsi="Aptos"/>
      <w:color w:val="1D2128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СтройКонтроль: система и модель данных</dc:title>
  <dc:subject>Краткая документация демонстрационного сервиса</dc:subject>
  <dc:creator>СтройКонтроль</dc:creator>
  <cp:keywords>СтройКонтроль, модель данных, ЛЦТ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