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“形势与政策”课程论文</w:t>
      </w:r>
    </w:p>
    <w:tbl>
      <w:tblPr>
        <w:tblStyle w:val="5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5"/>
        <w:gridCol w:w="498"/>
        <w:gridCol w:w="1383"/>
        <w:gridCol w:w="386"/>
        <w:gridCol w:w="997"/>
        <w:gridCol w:w="1270"/>
        <w:gridCol w:w="113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姓 名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史君宝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学 号</w:t>
            </w:r>
          </w:p>
        </w:tc>
        <w:tc>
          <w:tcPr>
            <w:tcW w:w="13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2152118</w:t>
            </w:r>
          </w:p>
        </w:tc>
        <w:tc>
          <w:tcPr>
            <w:tcW w:w="1383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学院/专业</w:t>
            </w:r>
          </w:p>
        </w:tc>
        <w:tc>
          <w:tcPr>
            <w:tcW w:w="215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新生院同和（理试）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班号</w:t>
            </w:r>
          </w:p>
        </w:tc>
        <w:tc>
          <w:tcPr>
            <w:tcW w:w="4259" w:type="dxa"/>
            <w:gridSpan w:val="5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Arial" w:hAnsi="Arial" w:cs="Arial"/>
                <w:color w:val="2B3B4E"/>
                <w:szCs w:val="21"/>
                <w:shd w:val="clear" w:color="auto" w:fill="FFFFFF"/>
              </w:rPr>
              <w:t>54010029</w:t>
            </w:r>
          </w:p>
        </w:tc>
        <w:tc>
          <w:tcPr>
            <w:tcW w:w="1383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教师姓名</w:t>
            </w:r>
          </w:p>
        </w:tc>
        <w:tc>
          <w:tcPr>
            <w:tcW w:w="21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袁品仕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上课时间</w:t>
            </w:r>
          </w:p>
        </w:tc>
        <w:tc>
          <w:tcPr>
            <w:tcW w:w="4259" w:type="dxa"/>
            <w:gridSpan w:val="5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周二7-8节【7-10】</w:t>
            </w:r>
          </w:p>
        </w:tc>
        <w:tc>
          <w:tcPr>
            <w:tcW w:w="1383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54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</w:t>
            </w:r>
          </w:p>
          <w:p>
            <w:pPr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论文要求</w:t>
            </w:r>
          </w:p>
        </w:tc>
        <w:tc>
          <w:tcPr>
            <w:tcW w:w="7796" w:type="dxa"/>
            <w:gridSpan w:val="8"/>
          </w:tcPr>
          <w:p>
            <w:pPr>
              <w:spacing w:line="300" w:lineRule="auto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1、论文请结合所学知识，自拟标题，展开论述，诗歌、决心书、散文、口号等非论文形式的，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未结合所学知识的，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均扣除30分；（30分）</w:t>
            </w:r>
          </w:p>
          <w:p>
            <w:pPr>
              <w:spacing w:line="300" w:lineRule="auto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2、论文必须坚持观点正确，并做到符合基本的学术规范。（30分）</w:t>
            </w:r>
          </w:p>
          <w:p>
            <w:pPr>
              <w:spacing w:line="300" w:lineRule="auto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3、论文题目、各级标题、正文的字体、字号必须为“宋体、小四号”，黑色字（不加粗）、行距1.5倍；字数不少于1000字，但不能超过二页A4纸；违反即扣除10分。（10分）</w:t>
            </w:r>
          </w:p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4、论文应做到结构完整、内容论证有依据、论述展开有逻辑。（30分）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7" w:type="dxa"/>
            <w:gridSpan w:val="9"/>
          </w:tcPr>
          <w:p>
            <w:pPr>
              <w:spacing w:line="360" w:lineRule="auto"/>
              <w:jc w:val="center"/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课程论文选题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7" w:type="dxa"/>
            <w:gridSpan w:val="9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中国的数字经济发展分析与启示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摘要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中国的数字经济经过多年的积累，进入高质量发展时代。当下处于疫情和十四五交织的时代，分析中国数字经济发展情况，把握自身优势，解决存在的问题，有利于我国经济持续健康发展。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关键词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数字经济；疫情；十四五；发展状况；启示。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【正文】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浅谈数字经济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2016年中国召开G20杭州峰会，数字经济首次成为议题，次年，数字经济写入政府工作报告。其实生活中我们离数字经济并不遥远，比如我们的电子商务、移动支付都是数字经济的典型范例。下面我们给出数字经济的官方定义。</w:t>
            </w:r>
            <w:r>
              <w:rPr>
                <w:rFonts w:ascii="宋体" w:hAnsi="宋体" w:eastAsia="宋体" w:cs="宋体"/>
                <w:sz w:val="24"/>
                <w:szCs w:val="24"/>
              </w:rPr>
              <w:t>数字经济是以数据资源为关键要素，以现代信息网络为主要载体，以信息通信技术融合应用、全要素数字化转型为重要推动力，促进公平与效率更加统一的新经济形态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eastAsia="zh-CN"/>
              </w:rPr>
              <w:t>】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字经济主要由数字产业化和产业数字化组成，下面我举一些例子来解释。前者是依赖数字技术的创新而产生的，例如VR技术的发展而产生的一系列企业，后者是将数字技术利用到已有的产业中实现智能化升级，例如智能车间、工业互联网等。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数字技术具有易于渗透的特点，将其与传统产业结合，能够使跨时空数据共享的成本为0，并加入新的生产要素，实现提质增速。我们经常会听到的“互联网+”概念，就是指将数字技术与传统产业深度融合后催生出新业态、新产业。当前，数字经济推动经济持续健康增长，经过多年的发展，我国数字经济规模处于世界前列。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2.中国的数字经济发展状况</w:t>
            </w:r>
          </w:p>
          <w:p>
            <w:pPr>
              <w:spacing w:line="360" w:lineRule="auto"/>
              <w:ind w:firstLine="43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国在数字经济方面耕耘多年，具有众多方面的优势，我国有9.89亿的网民以及70.9%的互联网普及率，有着广阔的市场规模；我国有良好的互联网基础，5G等一系列新基建；我国还有众多具有创新能力的数字企业。根据2020年的数据，中国的数字经济规模已经达到了39.2万亿元，占GDP比重达到38.6%。在2020年初的新冠疫情的冲击下，中国的GDP增速为3.0%，但是数字经济增速达到9.7%，发展潜力巨大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val="en-US" w:eastAsia="zh-CN"/>
              </w:rPr>
              <w:t>【2】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。中国在十九大的会议上提出建设“数字中国”战略，分别制定了数字经济发展的2025和2035计划，数字经济也进入高质量发展的时代。</w:t>
            </w:r>
          </w:p>
          <w:p>
            <w:pPr>
              <w:spacing w:line="360" w:lineRule="auto"/>
              <w:ind w:firstLine="43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但同时，问题也有很多。我国数字经济占GDP比重较低，与主要发达国家仍有巨大的差距。中国数字经济发展并不平衡，在数字经济的发展水平和数字化人才具有严重的地区不平衡性，三四线城市很难享受到数字经济带来的红利。数字经济还存在代际之间的差异，众多的老年人还会因此进入生活上的窘境，比如近段时间经常出现的老年人没有健康码带来的不方便。同时对于一些平台型企业，利用拥有的大量数据资源和用户，破坏社会公平性，造成了寡头垄断的局面，例如前段时间阿里巴巴就因此受到了法律的制裁。而数字产业化作为数字经济的先导，我国在集成电路等一些领域还有着众多的短板。这些问题也成为数字经济发展的巨大阻碍，等待解决。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3.中国数字经济的发展展望</w:t>
            </w:r>
          </w:p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2020年全球经济受到巨大打击，进入后疫情时代，数字经济推动全球贸易的顺利恢复与经济增长。对于我国而言，疫情不仅考验我国的城市治理能力，也极大推动了城市数字化的进程。例如在疫情全国实现线上的一体化政务平台，健康码申领超过9亿人，使用400亿次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val="en-US" w:eastAsia="zh-CN"/>
              </w:rPr>
              <w:t>【3】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当前不仅是十四五的开局也是后疫情时代，我国要把握数字经济的发展经验。比如，建设完善新型基础设施；对于数字产业提供政策支持和资金补助，实现数字技术基础研究的突破；完善相关教育，培育数字化人才；调整区域之间的资源配置，让更多的人享受数字经济的红利。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总结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中国在数字经济方面有着众多优势，也同样存在众多的问题。把握数字经济发展和在疫情中应用的经验，有利于我们更好地享受数字经济红利。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参考文献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【1】《中国数字经济发展的回顾与展望》《中共中央党校》2022年 江小娟 靳景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】《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中国数字经济发展相关问题和政策建议》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西南金融》2021 于也雯 陈耿宣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【3】《后疫情时代中国数字经济发展的路径解析》《经济社会体制比较》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2020 韩晶 孙雅雯 陈曦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26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评阅教师</w:t>
            </w:r>
          </w:p>
        </w:tc>
        <w:tc>
          <w:tcPr>
            <w:tcW w:w="2267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最终成绩评定</w:t>
            </w:r>
          </w:p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（百分制）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</w:tr>
    </w:tbl>
    <w:p>
      <w:pPr>
        <w:jc w:val="center"/>
      </w:pPr>
      <w:r>
        <w:rPr>
          <w:rFonts w:ascii="Times New Roman" w:hAnsi="Times New Roman" w:cs="Times New Roman"/>
          <w:b/>
        </w:rPr>
        <w:t>---</w:t>
      </w:r>
      <w:r>
        <w:rPr>
          <w:rFonts w:hint="eastAsia"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--</w:t>
      </w:r>
      <w:r>
        <w:rPr>
          <w:rFonts w:hint="eastAsia"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以下为空------</w:t>
      </w:r>
      <w:r>
        <w:rPr>
          <w:rFonts w:hint="eastAsia" w:ascii="Times New Roman" w:hAnsi="Times New Roman" w:cs="Times New Roman"/>
          <w:b/>
        </w:rPr>
        <w:t>-----------------------</w:t>
      </w:r>
      <w:r>
        <w:rPr>
          <w:rFonts w:ascii="Times New Roman" w:hAnsi="Times New Roman" w:cs="Times New Roman"/>
          <w:b/>
        </w:rPr>
        <w:t>不得超过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页A4纸</w:t>
      </w:r>
      <w:r>
        <w:rPr>
          <w:rFonts w:hint="eastAsia" w:ascii="Times New Roman" w:hAnsi="Times New Roman" w:cs="Times New Roman"/>
          <w:b/>
        </w:rPr>
        <w:t>----</w:t>
      </w:r>
      <w:r>
        <w:rPr>
          <w:rFonts w:ascii="Times New Roman" w:hAnsi="Times New Roman" w:cs="Times New Roman"/>
          <w:b/>
        </w:rPr>
        <w:t>---</w:t>
      </w:r>
      <w:r>
        <w:rPr>
          <w:rFonts w:hint="eastAsia" w:ascii="Times New Roman" w:hAnsi="Times New Roman" w:cs="Times New Roman"/>
          <w:b/>
        </w:rPr>
        <w:t>--------</w:t>
      </w:r>
      <w:r>
        <w:rPr>
          <w:rFonts w:ascii="Times New Roman" w:hAnsi="Times New Roman" w:cs="Times New Roman"/>
          <w:b/>
        </w:rPr>
        <w:t>--</w:t>
      </w:r>
      <w:r>
        <w:rPr>
          <w:rFonts w:hint="eastAsia" w:ascii="Times New Roman" w:hAnsi="Times New Roman" w:cs="Times New Roman"/>
          <w:b/>
        </w:rPr>
        <w:t>--</w:t>
      </w:r>
      <w:r>
        <w:rPr>
          <w:rFonts w:ascii="Times New Roman" w:hAnsi="Times New Roman" w:cs="Times New Roman"/>
          <w:b/>
        </w:rPr>
        <w:t>-------以下为空-----</w:t>
      </w:r>
      <w:r>
        <w:rPr>
          <w:rFonts w:hint="eastAsia" w:ascii="Times New Roman" w:hAnsi="Times New Roman" w:cs="Times New Roman"/>
          <w:b/>
        </w:rPr>
        <w:t>--</w:t>
      </w:r>
    </w:p>
    <w:sectPr>
      <w:pgSz w:w="11906" w:h="16838"/>
      <w:pgMar w:top="1247" w:right="1701" w:bottom="85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595AA"/>
    <w:multiLevelType w:val="singleLevel"/>
    <w:tmpl w:val="6A4595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4MTZmZjY4MGYzYjQ5MDlhZThlNzVkNzJiZmE5YzcifQ=="/>
  </w:docVars>
  <w:rsids>
    <w:rsidRoot w:val="00666AA2"/>
    <w:rsid w:val="00127D81"/>
    <w:rsid w:val="00176291"/>
    <w:rsid w:val="001D48C5"/>
    <w:rsid w:val="002A554E"/>
    <w:rsid w:val="002E7826"/>
    <w:rsid w:val="00666AA2"/>
    <w:rsid w:val="006861CB"/>
    <w:rsid w:val="006D2FB3"/>
    <w:rsid w:val="0080655C"/>
    <w:rsid w:val="00815F09"/>
    <w:rsid w:val="00A44288"/>
    <w:rsid w:val="00AB1420"/>
    <w:rsid w:val="00DC6C77"/>
    <w:rsid w:val="00E645B6"/>
    <w:rsid w:val="19B618AD"/>
    <w:rsid w:val="1BEA7341"/>
    <w:rsid w:val="75273558"/>
    <w:rsid w:val="7B7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1835</Words>
  <Characters>1992</Characters>
  <Lines>3</Lines>
  <Paragraphs>1</Paragraphs>
  <TotalTime>272</TotalTime>
  <ScaleCrop>false</ScaleCrop>
  <LinksUpToDate>false</LinksUpToDate>
  <CharactersWithSpaces>2011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2021-10-14T03:12:00Z</dcterms:created>
  <dc:creator>袁品仕</dc:creator>
  <cp:lastModifiedBy>86181</cp:lastModifiedBy>
  <dcterms:modified xsi:type="dcterms:W3CDTF">2022-05-03T13:47:51Z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eyJoZGlkIjoiMzE4MTZmZjY4MGYzYjQ5MDlhZThlNzVkNzJiZmE5YzcifQ==</vt:lpwstr>
  </property>
  <property fmtid="{D5CDD505-2E9C-101B-9397-08002B2CF9AE}" pid="3" name="KSOProductBuildVer">
    <vt:lpwstr>2052-11.1.0.11636</vt:lpwstr>
  </property>
  <property fmtid="{D5CDD505-2E9C-101B-9397-08002B2CF9AE}" pid="4" name="ICV">
    <vt:lpwstr>4B47191A75924830B016718195FB4842</vt:lpwstr>
  </property>
</Properties>
</file>