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EB" w:rsidRDefault="00D84BDD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86.4pt;margin-top:19.45pt;width:231.85pt;height:83.9pt;z-index:251660288;mso-width-relative:margin;mso-height-relative:margin" fillcolor="white [3201]" strokecolor="#96f">
            <v:shadow color="#9bbb59 [3206]"/>
            <v:textbox>
              <w:txbxContent>
                <w:p w:rsidR="009F07EB" w:rsidRPr="00927E35" w:rsidRDefault="009F07EB" w:rsidP="00927E35">
                  <w:pPr>
                    <w:spacing w:after="0" w:line="240" w:lineRule="auto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</w:p>
                <w:p w:rsidR="00927E35" w:rsidRPr="00927E35" w:rsidRDefault="00927E35" w:rsidP="00927E35">
                  <w:pPr>
                    <w:spacing w:after="0" w:line="240" w:lineRule="auto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proofErr w:type="spellStart"/>
                  <w:r w:rsidRPr="00927E35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Spett.le</w:t>
                  </w:r>
                  <w:proofErr w:type="spellEnd"/>
                  <w:r w:rsidRPr="00927E35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927E35" w:rsidRPr="00927E35" w:rsidRDefault="00927E35" w:rsidP="00927E35">
                  <w:pPr>
                    <w:spacing w:after="0" w:line="240" w:lineRule="auto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927E35">
                    <w:rPr>
                      <w:rFonts w:ascii="Arial" w:hAnsi="Arial" w:cs="Arial"/>
                      <w:b/>
                      <w:sz w:val="20"/>
                      <w:szCs w:val="20"/>
                    </w:rPr>
                    <w:t>Comune di ANZOLA D'OSSOLA</w:t>
                  </w:r>
                </w:p>
                <w:p w:rsidR="00927E35" w:rsidRPr="00927E35" w:rsidRDefault="00927E35" w:rsidP="00927E35">
                  <w:pPr>
                    <w:spacing w:after="0" w:line="240" w:lineRule="auto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927E35">
                    <w:rPr>
                      <w:rFonts w:ascii="Arial" w:hAnsi="Arial" w:cs="Arial"/>
                      <w:sz w:val="20"/>
                      <w:szCs w:val="20"/>
                    </w:rPr>
                    <w:t xml:space="preserve">Via </w:t>
                  </w:r>
                  <w:proofErr w:type="spellStart"/>
                  <w:r w:rsidRPr="00927E35">
                    <w:rPr>
                      <w:rFonts w:ascii="Arial" w:hAnsi="Arial" w:cs="Arial"/>
                      <w:sz w:val="20"/>
                      <w:szCs w:val="20"/>
                    </w:rPr>
                    <w:t>Megolo</w:t>
                  </w:r>
                  <w:proofErr w:type="spellEnd"/>
                  <w:r w:rsidRPr="00927E35">
                    <w:rPr>
                      <w:rFonts w:ascii="Arial" w:hAnsi="Arial" w:cs="Arial"/>
                      <w:sz w:val="20"/>
                      <w:szCs w:val="20"/>
                    </w:rPr>
                    <w:t>, 12</w:t>
                  </w:r>
                </w:p>
                <w:p w:rsidR="00927E35" w:rsidRPr="00927E35" w:rsidRDefault="00927E35" w:rsidP="00927E35">
                  <w:pPr>
                    <w:spacing w:after="0" w:line="240" w:lineRule="auto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927E35">
                    <w:rPr>
                      <w:rFonts w:ascii="Arial" w:hAnsi="Arial" w:cs="Arial"/>
                      <w:sz w:val="20"/>
                      <w:szCs w:val="20"/>
                    </w:rPr>
                    <w:t>28877</w:t>
                  </w:r>
                  <w:r w:rsidRPr="00927E3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927E35">
                    <w:rPr>
                      <w:rFonts w:ascii="Arial" w:hAnsi="Arial" w:cs="Arial"/>
                      <w:sz w:val="20"/>
                      <w:szCs w:val="20"/>
                    </w:rPr>
                    <w:t>ANZOLA D'OSSOLA</w:t>
                  </w:r>
                  <w:r w:rsidRPr="00927E35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(</w:t>
                  </w:r>
                  <w:r w:rsidRPr="00927E35">
                    <w:rPr>
                      <w:rFonts w:ascii="Arial" w:hAnsi="Arial" w:cs="Arial"/>
                      <w:sz w:val="20"/>
                      <w:szCs w:val="20"/>
                    </w:rPr>
                    <w:t>VB</w:t>
                  </w:r>
                  <w:r w:rsidRPr="00927E35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)</w:t>
                  </w:r>
                </w:p>
                <w:p w:rsidR="00927E35" w:rsidRPr="00927E35" w:rsidRDefault="00927E35" w:rsidP="00927E35">
                  <w:pPr>
                    <w:spacing w:after="0" w:line="240" w:lineRule="auto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</w:p>
                <w:p w:rsidR="009F07EB" w:rsidRPr="00927E35" w:rsidRDefault="009F07EB" w:rsidP="00927E3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type="square"/>
          </v:shape>
        </w:pict>
      </w:r>
    </w:p>
    <w:p w:rsidR="009F07EB" w:rsidRDefault="009F07EB"/>
    <w:p w:rsidR="00E05042" w:rsidRDefault="00E05042" w:rsidP="00E0504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04040" w:themeColor="text1" w:themeTint="BF"/>
          <w:sz w:val="20"/>
          <w:szCs w:val="20"/>
        </w:rPr>
      </w:pPr>
    </w:p>
    <w:p w:rsidR="00FE16FA" w:rsidRPr="00FE16FA" w:rsidRDefault="00FE16FA" w:rsidP="00927E35">
      <w:pPr>
        <w:spacing w:after="0" w:line="240" w:lineRule="auto"/>
        <w:ind w:left="426"/>
        <w:rPr>
          <w:rFonts w:ascii="Arial" w:hAnsi="Arial" w:cs="Arial"/>
          <w:b/>
          <w:bCs/>
          <w:color w:val="0091D2"/>
          <w:sz w:val="20"/>
          <w:lang w:val="en-US"/>
        </w:rPr>
      </w:pPr>
      <w:r w:rsidRPr="00FE16FA">
        <w:rPr>
          <w:rFonts w:ascii="Arial" w:hAnsi="Arial" w:cs="Arial"/>
          <w:b/>
          <w:bCs/>
          <w:color w:val="808080" w:themeColor="background1" w:themeShade="80"/>
          <w:sz w:val="20"/>
        </w:rPr>
        <w:t>Rif. Ns.</w:t>
      </w:r>
      <w:r w:rsidRPr="00FE16FA">
        <w:rPr>
          <w:rFonts w:ascii="Arial" w:hAnsi="Arial" w:cs="Arial"/>
          <w:b/>
          <w:bCs/>
          <w:color w:val="000000"/>
          <w:sz w:val="20"/>
        </w:rPr>
        <w:t xml:space="preserve">  CM20150184/1</w:t>
      </w:r>
    </w:p>
    <w:p w:rsidR="00FE16FA" w:rsidRPr="00FE16FA" w:rsidRDefault="00FE16FA" w:rsidP="00927E35">
      <w:pPr>
        <w:spacing w:after="0" w:line="240" w:lineRule="auto"/>
        <w:ind w:left="426"/>
        <w:rPr>
          <w:rFonts w:ascii="Arial" w:hAnsi="Arial" w:cs="Arial"/>
          <w:b/>
          <w:bCs/>
          <w:color w:val="000000"/>
          <w:sz w:val="20"/>
        </w:rPr>
      </w:pPr>
      <w:r w:rsidRPr="00FE16FA">
        <w:rPr>
          <w:rFonts w:ascii="Arial" w:hAnsi="Arial" w:cs="Arial"/>
          <w:b/>
          <w:bCs/>
          <w:color w:val="808080" w:themeColor="background1" w:themeShade="80"/>
          <w:sz w:val="20"/>
          <w:lang w:val="en-US"/>
        </w:rPr>
        <w:t>Rif. Vs.</w:t>
      </w:r>
      <w:r w:rsidRPr="00FE16FA">
        <w:rPr>
          <w:rFonts w:ascii="Arial" w:hAnsi="Arial" w:cs="Arial"/>
          <w:b/>
          <w:bCs/>
          <w:color w:val="0091D2"/>
          <w:sz w:val="20"/>
          <w:lang w:val="en-US"/>
        </w:rPr>
        <w:t xml:space="preserve">  </w:t>
      </w:r>
      <w:r w:rsidRPr="00FE16FA">
        <w:rPr>
          <w:rFonts w:ascii="Arial" w:hAnsi="Arial" w:cs="Arial"/>
          <w:b/>
          <w:bCs/>
          <w:color w:val="000000"/>
          <w:sz w:val="20"/>
        </w:rPr>
        <w:t xml:space="preserve">CIG  ZC516945CF </w:t>
      </w:r>
    </w:p>
    <w:p w:rsidR="00FE16FA" w:rsidRPr="00FE16FA" w:rsidRDefault="00FE16FA" w:rsidP="00927E35">
      <w:pPr>
        <w:spacing w:after="0" w:line="240" w:lineRule="auto"/>
        <w:ind w:left="426"/>
        <w:rPr>
          <w:rFonts w:ascii="Arial" w:hAnsi="Arial" w:cs="Arial"/>
          <w:b/>
          <w:bCs/>
          <w:color w:val="0091D2"/>
          <w:sz w:val="20"/>
          <w:lang w:val="en-US"/>
        </w:rPr>
      </w:pPr>
      <w:r w:rsidRPr="00FE16FA">
        <w:rPr>
          <w:rFonts w:ascii="Arial" w:hAnsi="Arial" w:cs="Arial"/>
          <w:b/>
          <w:bCs/>
          <w:color w:val="000000"/>
          <w:sz w:val="20"/>
        </w:rPr>
        <w:t>Contratto Rep. n. 89 Del 08/10/2015</w:t>
      </w:r>
    </w:p>
    <w:p w:rsidR="00982206" w:rsidRDefault="00982206" w:rsidP="00E0504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04040" w:themeColor="text1" w:themeTint="BF"/>
          <w:sz w:val="20"/>
          <w:szCs w:val="20"/>
        </w:rPr>
      </w:pPr>
    </w:p>
    <w:p w:rsidR="00927E35" w:rsidRPr="00982206" w:rsidRDefault="00927E35" w:rsidP="00927E35">
      <w:pPr>
        <w:autoSpaceDE w:val="0"/>
        <w:autoSpaceDN w:val="0"/>
        <w:adjustRightInd w:val="0"/>
        <w:spacing w:after="0" w:line="240" w:lineRule="auto"/>
        <w:ind w:left="426" w:right="-1"/>
        <w:jc w:val="righ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82206">
        <w:rPr>
          <w:rFonts w:ascii="Arial" w:hAnsi="Arial" w:cs="Arial"/>
          <w:color w:val="000000"/>
          <w:sz w:val="20"/>
        </w:rPr>
        <w:t>Castelnuovo</w:t>
      </w:r>
      <w:proofErr w:type="spellEnd"/>
      <w:r w:rsidRPr="00982206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982206">
        <w:rPr>
          <w:rFonts w:ascii="Arial" w:hAnsi="Arial" w:cs="Arial"/>
          <w:color w:val="000000"/>
          <w:sz w:val="20"/>
        </w:rPr>
        <w:t>Scrivia</w:t>
      </w:r>
      <w:proofErr w:type="spellEnd"/>
      <w:r w:rsidRPr="00982206">
        <w:rPr>
          <w:rFonts w:ascii="Arial" w:hAnsi="Arial" w:cs="Arial"/>
          <w:color w:val="000000"/>
          <w:sz w:val="20"/>
        </w:rPr>
        <w:t>, 8 gennaio 2016</w:t>
      </w:r>
    </w:p>
    <w:p w:rsidR="00982206" w:rsidRDefault="00982206" w:rsidP="00E0504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04040" w:themeColor="text1" w:themeTint="BF"/>
          <w:sz w:val="20"/>
          <w:szCs w:val="20"/>
        </w:rPr>
      </w:pPr>
    </w:p>
    <w:p w:rsidR="00982206" w:rsidRPr="00E05042" w:rsidRDefault="00982206" w:rsidP="00E0504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04040" w:themeColor="text1" w:themeTint="BF"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10206"/>
      </w:tblGrid>
      <w:tr w:rsidR="00E05042" w:rsidRPr="00E05042" w:rsidTr="00E05042">
        <w:trPr>
          <w:trHeight w:val="563"/>
        </w:trPr>
        <w:tc>
          <w:tcPr>
            <w:tcW w:w="10206" w:type="dxa"/>
            <w:shd w:val="clear" w:color="auto" w:fill="auto"/>
          </w:tcPr>
          <w:p w:rsidR="00E05042" w:rsidRPr="00927E35" w:rsidRDefault="00D84BDD" w:rsidP="00927E35">
            <w:pPr>
              <w:ind w:left="318" w:right="-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27E35">
              <w:rPr>
                <w:rFonts w:ascii="Arial" w:hAnsi="Arial" w:cs="Arial"/>
                <w:b/>
                <w:noProof/>
                <w:color w:val="7F7F7F" w:themeColor="text1" w:themeTint="80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0;text-align:left;margin-left:5.45pt;margin-top:31.95pt;width:513.5pt;height:0;z-index:251661312" o:connectortype="straight" strokecolor="#96f" strokeweight="1.5pt"/>
              </w:pict>
            </w:r>
            <w:r w:rsidR="00E05042" w:rsidRPr="00927E35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</w:rPr>
              <w:t>Oggetto:</w:t>
            </w:r>
            <w:r w:rsidR="00E05042" w:rsidRPr="00927E35">
              <w:rPr>
                <w:rFonts w:ascii="Arial" w:hAnsi="Arial" w:cs="Arial"/>
                <w:b/>
                <w:bCs/>
                <w:color w:val="548DD4"/>
                <w:sz w:val="20"/>
              </w:rPr>
              <w:t xml:space="preserve"> </w:t>
            </w:r>
            <w:r w:rsidR="00927E35" w:rsidRPr="00927E35">
              <w:rPr>
                <w:rFonts w:ascii="Arial" w:hAnsi="Arial" w:cs="Arial"/>
                <w:b/>
                <w:sz w:val="20"/>
                <w:szCs w:val="20"/>
              </w:rPr>
              <w:t xml:space="preserve">FORNITURA E POSA </w:t>
            </w:r>
            <w:proofErr w:type="spellStart"/>
            <w:r w:rsidR="00927E35" w:rsidRPr="00927E35">
              <w:rPr>
                <w:rFonts w:ascii="Arial" w:hAnsi="Arial" w:cs="Arial"/>
                <w:b/>
                <w:sz w:val="20"/>
                <w:szCs w:val="20"/>
              </w:rPr>
              <w:t>DI</w:t>
            </w:r>
            <w:proofErr w:type="spellEnd"/>
            <w:r w:rsidR="00927E35" w:rsidRPr="00927E35">
              <w:rPr>
                <w:rFonts w:ascii="Arial" w:hAnsi="Arial" w:cs="Arial"/>
                <w:b/>
                <w:sz w:val="20"/>
                <w:szCs w:val="20"/>
              </w:rPr>
              <w:t xml:space="preserve"> ATTREZZATURE SPORTIVE PER LA REALIZZAZIONE </w:t>
            </w:r>
            <w:proofErr w:type="spellStart"/>
            <w:r w:rsidR="00927E35" w:rsidRPr="00927E35">
              <w:rPr>
                <w:rFonts w:ascii="Arial" w:hAnsi="Arial" w:cs="Arial"/>
                <w:b/>
                <w:sz w:val="20"/>
                <w:szCs w:val="20"/>
              </w:rPr>
              <w:t>DI</w:t>
            </w:r>
            <w:proofErr w:type="spellEnd"/>
            <w:r w:rsidR="00927E35" w:rsidRPr="00927E35">
              <w:rPr>
                <w:rFonts w:ascii="Arial" w:hAnsi="Arial" w:cs="Arial"/>
                <w:b/>
                <w:sz w:val="20"/>
                <w:szCs w:val="20"/>
              </w:rPr>
              <w:t xml:space="preserve"> “</w:t>
            </w:r>
            <w:r w:rsidR="00927E35" w:rsidRPr="00927E3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AREA ATTREZZATA DEDICATA ALLA PRATICA </w:t>
            </w:r>
            <w:proofErr w:type="spellStart"/>
            <w:r w:rsidR="00927E35" w:rsidRPr="00927E35">
              <w:rPr>
                <w:rFonts w:ascii="Arial" w:hAnsi="Arial" w:cs="Arial"/>
                <w:b/>
                <w:i/>
                <w:sz w:val="20"/>
                <w:szCs w:val="20"/>
              </w:rPr>
              <w:t>DI</w:t>
            </w:r>
            <w:proofErr w:type="spellEnd"/>
            <w:r w:rsidR="00927E35" w:rsidRPr="00927E3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ATTIVITA’ FISICO-MOTORIA</w:t>
            </w:r>
            <w:r w:rsidR="00927E35" w:rsidRPr="00927E35"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</w:tc>
      </w:tr>
    </w:tbl>
    <w:p w:rsidR="00927E35" w:rsidRPr="00927E35" w:rsidRDefault="00927E35" w:rsidP="00927E35">
      <w:pPr>
        <w:ind w:left="284" w:right="-11"/>
        <w:jc w:val="both"/>
        <w:rPr>
          <w:rFonts w:ascii="Arial" w:hAnsi="Arial" w:cs="Arial"/>
          <w:sz w:val="20"/>
          <w:szCs w:val="20"/>
        </w:rPr>
      </w:pPr>
      <w:r w:rsidRPr="00927E35">
        <w:rPr>
          <w:rFonts w:ascii="Arial" w:hAnsi="Arial" w:cs="Arial"/>
          <w:sz w:val="20"/>
          <w:szCs w:val="20"/>
        </w:rPr>
        <w:t xml:space="preserve">Con la presente la Società </w:t>
      </w:r>
      <w:proofErr w:type="spellStart"/>
      <w:r w:rsidRPr="00927E35">
        <w:rPr>
          <w:rFonts w:ascii="Arial" w:hAnsi="Arial" w:cs="Arial"/>
          <w:sz w:val="20"/>
          <w:szCs w:val="20"/>
        </w:rPr>
        <w:t>Proludic</w:t>
      </w:r>
      <w:proofErr w:type="spellEnd"/>
      <w:r w:rsidRPr="00927E35">
        <w:rPr>
          <w:rFonts w:ascii="Arial" w:hAnsi="Arial" w:cs="Arial"/>
          <w:sz w:val="20"/>
          <w:szCs w:val="20"/>
        </w:rPr>
        <w:t xml:space="preserve"> S.r.l.</w:t>
      </w:r>
    </w:p>
    <w:p w:rsidR="00927E35" w:rsidRPr="00927E35" w:rsidRDefault="00927E35" w:rsidP="00927E35">
      <w:pPr>
        <w:ind w:left="284" w:right="-11"/>
        <w:jc w:val="center"/>
        <w:rPr>
          <w:rFonts w:ascii="Arial" w:hAnsi="Arial" w:cs="Arial"/>
          <w:b/>
        </w:rPr>
      </w:pPr>
      <w:r w:rsidRPr="00927E35">
        <w:rPr>
          <w:rFonts w:ascii="Arial" w:hAnsi="Arial" w:cs="Arial"/>
          <w:b/>
        </w:rPr>
        <w:t>DICHIARA</w:t>
      </w:r>
    </w:p>
    <w:p w:rsidR="00927E35" w:rsidRPr="00927E35" w:rsidRDefault="00927E35" w:rsidP="00927E3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  <w:sz w:val="20"/>
          <w:szCs w:val="20"/>
        </w:rPr>
      </w:pPr>
      <w:r w:rsidRPr="00927E35">
        <w:rPr>
          <w:rFonts w:ascii="Arial" w:hAnsi="Arial" w:cs="Arial"/>
          <w:sz w:val="20"/>
          <w:szCs w:val="20"/>
        </w:rPr>
        <w:t>Che in data 27/10/2015 sono stati ultimati i lavori per la posa in opera delle attrezzature ludiche.</w:t>
      </w:r>
    </w:p>
    <w:p w:rsidR="00927E35" w:rsidRPr="00927E35" w:rsidRDefault="00927E35" w:rsidP="00927E3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  <w:sz w:val="20"/>
          <w:szCs w:val="20"/>
          <w:u w:val="single"/>
        </w:rPr>
      </w:pPr>
      <w:r w:rsidRPr="00927E35">
        <w:rPr>
          <w:rFonts w:ascii="Arial" w:hAnsi="Arial" w:cs="Arial"/>
          <w:sz w:val="20"/>
          <w:szCs w:val="20"/>
        </w:rPr>
        <w:t xml:space="preserve">Che le attrezzature ludiche di seguito elencate sono conformi nei materiali e nelle composizioni alla norma europea EN 1176 1-6 </w:t>
      </w:r>
    </w:p>
    <w:p w:rsidR="00927E35" w:rsidRPr="00927E35" w:rsidRDefault="00927E35" w:rsidP="00927E3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u w:val="single"/>
        </w:rPr>
      </w:pPr>
    </w:p>
    <w:tbl>
      <w:tblPr>
        <w:tblW w:w="9356" w:type="dxa"/>
        <w:tblInd w:w="392" w:type="dxa"/>
        <w:tblBorders>
          <w:top w:val="single" w:sz="8" w:space="0" w:color="9966FF"/>
          <w:bottom w:val="single" w:sz="8" w:space="0" w:color="9966FF"/>
          <w:insideH w:val="single" w:sz="8" w:space="0" w:color="9966FF"/>
        </w:tblBorders>
        <w:tblLayout w:type="fixed"/>
        <w:tblLook w:val="04A0"/>
      </w:tblPr>
      <w:tblGrid>
        <w:gridCol w:w="1276"/>
        <w:gridCol w:w="7371"/>
        <w:gridCol w:w="709"/>
      </w:tblGrid>
      <w:tr w:rsidR="00927E35" w:rsidRPr="00927E35" w:rsidTr="00927E35">
        <w:tc>
          <w:tcPr>
            <w:tcW w:w="1276" w:type="dxa"/>
            <w:shd w:val="clear" w:color="auto" w:fill="9966FF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284" w:firstLine="108"/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927E35"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  <w:t>Cod.</w:t>
            </w:r>
          </w:p>
        </w:tc>
        <w:tc>
          <w:tcPr>
            <w:tcW w:w="7371" w:type="dxa"/>
            <w:shd w:val="clear" w:color="auto" w:fill="9966FF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927E35"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  <w:t>Descrizione</w:t>
            </w:r>
          </w:p>
        </w:tc>
        <w:tc>
          <w:tcPr>
            <w:tcW w:w="709" w:type="dxa"/>
            <w:shd w:val="clear" w:color="auto" w:fill="9966FF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proofErr w:type="spellStart"/>
            <w:r w:rsidRPr="00927E35"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  <w:t>Q.tà</w:t>
            </w:r>
            <w:proofErr w:type="spellEnd"/>
          </w:p>
        </w:tc>
      </w:tr>
      <w:tr w:rsidR="00927E35" w:rsidRPr="00927E35" w:rsidTr="00927E35">
        <w:tc>
          <w:tcPr>
            <w:tcW w:w="1276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  <w:t>J3704</w:t>
            </w:r>
          </w:p>
        </w:tc>
        <w:tc>
          <w:tcPr>
            <w:tcW w:w="7371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Stazione per addominali: attrezzatura fitness  per lo svolgimento  di esercizi 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per  tonificare gli addominali Tutti i montanti sono in acciaio galvanizzato laccato di diametro 125 mm.  con rifinitura effetto   granito , in due toni di grigio, con  piccoli  rilievi che nascondono eventuali graffi.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La parte superiore dei montanti è protetta da un cappuccio in poliammide di colore  arancione .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I tubi sono in acciaio inossidabile. Esso garantisce longevità e piacere estetico  al gioco nel corso degli anni.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I pezzi di giunzione sono stampati in poliammide caricata, sono atossici ed  ignifughi, resistenti agli urti e ai raggi ultravioletti; assicurano robustezza del  gioco e resistenza contro gli atti di vandalismo.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Gli elementi di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ﬁssaggio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 in acciaio inossidabile sono protetti da capsule antivandalismo in poliammide.</w:t>
            </w:r>
          </w:p>
          <w:p w:rsid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Un pannello segnaletico riporta le  seguenti informazioni : stimolazione cardiaca, tipo di movimento da compiere,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difﬁcoltà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 dell’esercizio secondo la durata o la ripetizione.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jc w:val="center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1</w:t>
            </w:r>
          </w:p>
        </w:tc>
      </w:tr>
      <w:tr w:rsidR="00927E35" w:rsidRPr="00927E35" w:rsidTr="00927E35">
        <w:tc>
          <w:tcPr>
            <w:tcW w:w="1276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  <w:t>J3710</w:t>
            </w:r>
          </w:p>
        </w:tc>
        <w:tc>
          <w:tcPr>
            <w:tcW w:w="7371" w:type="dxa"/>
            <w:shd w:val="clear" w:color="auto" w:fill="auto"/>
          </w:tcPr>
          <w:p w:rsid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Stazione Fitness Resistenza composta da: 1 piattaforma centrale, 1 vogatore, 1 arco, 2 sbarre fisse, 1 sbarra di sospensione. Tutti i montanti sono in acciaio galvanizzato laccato di diametro 125 mm.  con rifinitura effetto   granito , in due toni di grigio, con  piccoli  rilievi che nascondono eventuali graffi , la trave curva è in lamellare incollato, lunga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mt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 3,20 e di sezione 200 x 95 mm.. La parte superiore dei montanti è protetta da un cappuccio in poliammide di colore  arancione . I tubi sono in acciaio inossidabile. Esso garantisce longevità e piacere estetico  al gioco nel corso degli anni. I pezzi di giunzione sono stampati in poliammide caricata, sono atossici ed  ignifughi, resistenti agli urti e ai raggi ultravioletti; assicurano robustezza del  gioco e resistenza contro gli atti di vandalismo. Gli elementi di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ﬁssaggio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 in acciaio inossidabile sono protetti da capsule antivandalismo in poliammide. Un pannello segnaletico è abbinato a tutte le attività proposte, riporta le  seguenti informazioni : stimolazione cardiaca, tipo di movimento da compiere, difficoltà dell’esercizio secondo la durata o la ripetizione.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jc w:val="center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1</w:t>
            </w:r>
          </w:p>
        </w:tc>
      </w:tr>
      <w:tr w:rsidR="00927E35" w:rsidRPr="00927E35" w:rsidTr="00927E35">
        <w:tc>
          <w:tcPr>
            <w:tcW w:w="1276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  <w:t>J3724</w:t>
            </w:r>
          </w:p>
        </w:tc>
        <w:tc>
          <w:tcPr>
            <w:tcW w:w="7371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Parallele simmetriche: attrezzatura fitness per svolgimento di esercizi di trazione e volteggio Le parallele sono costituite da numero  2 traverse in acciaio inox 304 di diametro 40 mm. parallele fra loro, ciascuna di lunghezza pari a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mt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. 2,38 e poste ad un’altezza di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mt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. 1,00 dal piano di calpestio;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Le parallele sono collegate , tramite giunti in poliammide di colore nero direttamente tra 4  montanti in acciaio galvanizzato laccato  di altezza complessiva  cm. 190 di cui  cm 60 fuori terra. Tutti i montanti sono in acciaio galvanizzato laccato di diametro 125 mm.  con rifinitura effetto   granito , in due toni di grigio, con  piccoli  rilievi che nascondono eventuali graffi.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La parte superiore dei montanti è protetta da un cappuccio in poliammide di colore  arancione .</w:t>
            </w:r>
          </w:p>
          <w:p w:rsid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I tubi sono in acciaio inossidabile. Esso garantisce longevità e piacere estetico  al gioco nel corso degli anni.</w:t>
            </w:r>
            <w:r>
              <w:rPr>
                <w:rFonts w:ascii="Arial" w:hAnsi="Arial" w:cs="Arial"/>
                <w:color w:val="9966FF"/>
                <w:sz w:val="16"/>
                <w:szCs w:val="18"/>
              </w:rPr>
              <w:t xml:space="preserve"> </w:t>
            </w: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I pezzi di giunzione sono stampati in poliammide caricata, sono atossici ed  ignifughi, resistenti agli urti e ai raggi ultravioletti; assicurano robustezza del  gioco e resistenza contro gli atti di vandalismo.</w:t>
            </w:r>
            <w:r>
              <w:rPr>
                <w:rFonts w:ascii="Arial" w:hAnsi="Arial" w:cs="Arial"/>
                <w:color w:val="9966FF"/>
                <w:sz w:val="16"/>
                <w:szCs w:val="18"/>
              </w:rPr>
              <w:t xml:space="preserve"> </w:t>
            </w: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Gli elementi di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ﬁssaggio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 in acciaio inossidabile sono protetti da capsule antivandalismo in poliammide.</w:t>
            </w:r>
            <w:r>
              <w:rPr>
                <w:rFonts w:ascii="Arial" w:hAnsi="Arial" w:cs="Arial"/>
                <w:color w:val="9966FF"/>
                <w:sz w:val="16"/>
                <w:szCs w:val="18"/>
              </w:rPr>
              <w:t xml:space="preserve"> </w:t>
            </w: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Un pannello segnaletico riporta le  seguenti informazioni : stimolazione cardiaca, tipo di movimento da compiere,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difﬁcoltà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 dell’esercizio secondo la durata o la ripetizione.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jc w:val="center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1</w:t>
            </w:r>
          </w:p>
        </w:tc>
      </w:tr>
      <w:tr w:rsidR="00927E35" w:rsidRPr="00927E35" w:rsidTr="00927E35">
        <w:tc>
          <w:tcPr>
            <w:tcW w:w="1276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  <w:t>J450</w:t>
            </w:r>
          </w:p>
        </w:tc>
        <w:tc>
          <w:tcPr>
            <w:tcW w:w="7371" w:type="dxa"/>
            <w:shd w:val="clear" w:color="auto" w:fill="auto"/>
          </w:tcPr>
          <w:p w:rsid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Altalena a due tavolette - Struttura composta da 4 montanti verticali a sezione quadrata 95x95mm in legno di pino nordico lamellare, traversa orizzontale in acciaio galvanizzato, due seggiolini in gomma sovrastampata con alveoli ammortizzanti. Tutti elementi di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ﬁssaggio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 sono in acciaio inossidabile sono protetti da capsule antivandalismo in poliammide. Dimensioni 3,31x1,83xH2,2 m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jc w:val="center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1</w:t>
            </w:r>
          </w:p>
        </w:tc>
      </w:tr>
      <w:tr w:rsidR="00927E35" w:rsidRPr="00927E35" w:rsidTr="002F4D7F">
        <w:tc>
          <w:tcPr>
            <w:tcW w:w="1276" w:type="dxa"/>
            <w:shd w:val="clear" w:color="auto" w:fill="9966FF"/>
          </w:tcPr>
          <w:p w:rsidR="00927E35" w:rsidRPr="00927E35" w:rsidRDefault="00927E35" w:rsidP="002F4D7F">
            <w:pPr>
              <w:autoSpaceDE w:val="0"/>
              <w:autoSpaceDN w:val="0"/>
              <w:adjustRightInd w:val="0"/>
              <w:spacing w:after="0" w:line="240" w:lineRule="auto"/>
              <w:ind w:left="284" w:firstLine="108"/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927E35"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  <w:lastRenderedPageBreak/>
              <w:t>Cod.</w:t>
            </w:r>
          </w:p>
        </w:tc>
        <w:tc>
          <w:tcPr>
            <w:tcW w:w="7371" w:type="dxa"/>
            <w:shd w:val="clear" w:color="auto" w:fill="9966FF"/>
          </w:tcPr>
          <w:p w:rsidR="00927E35" w:rsidRPr="00927E35" w:rsidRDefault="00927E35" w:rsidP="002F4D7F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927E35"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  <w:t>Descrizione</w:t>
            </w:r>
          </w:p>
        </w:tc>
        <w:tc>
          <w:tcPr>
            <w:tcW w:w="709" w:type="dxa"/>
            <w:shd w:val="clear" w:color="auto" w:fill="9966FF"/>
          </w:tcPr>
          <w:p w:rsidR="00927E35" w:rsidRPr="00927E35" w:rsidRDefault="00927E35" w:rsidP="002F4D7F">
            <w:pPr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proofErr w:type="spellStart"/>
            <w:r w:rsidRPr="00927E35"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  <w:t>Q.tà</w:t>
            </w:r>
            <w:proofErr w:type="spellEnd"/>
          </w:p>
        </w:tc>
      </w:tr>
      <w:tr w:rsidR="00927E35" w:rsidRPr="00927E35" w:rsidTr="00927E35">
        <w:tc>
          <w:tcPr>
            <w:tcW w:w="1276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  <w:t>JPS10-S</w:t>
            </w:r>
          </w:p>
        </w:tc>
        <w:tc>
          <w:tcPr>
            <w:tcW w:w="7371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Struttura per percorso benessere "Slalom - Senior" - Composta da pali portanti quadrati sez. 95x95mm, in legno di pino nordico lamellare incollato. I coperchi dei pali sono in poliammide, gli elementi di fissaggio sono in acciaio inox e sono protetti da capsule antivandalismo in poliammide. Il cartello informativo è in HPL sp. 13mm. le immagini e le scritte sono incise. Dim. 2,5 x 1,80 x H 2,03 m</w:t>
            </w:r>
          </w:p>
        </w:tc>
        <w:tc>
          <w:tcPr>
            <w:tcW w:w="709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jc w:val="center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1</w:t>
            </w:r>
          </w:p>
        </w:tc>
      </w:tr>
      <w:tr w:rsidR="00927E35" w:rsidRPr="00927E35" w:rsidTr="00927E35">
        <w:tc>
          <w:tcPr>
            <w:tcW w:w="1276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  <w:t>JPS13-S</w:t>
            </w:r>
          </w:p>
        </w:tc>
        <w:tc>
          <w:tcPr>
            <w:tcW w:w="7371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Struttura per percorso benessere "Panca per Addominali" - Composta da pali portanti quadrati sez. 95x95mm, in legno di pino nordico lamellare incollato, travi orizzontali in legno massello e tubolari in acciaio inox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diam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. 40mm. I coperchi dei pali sono in poliammide, gli elementi di fissaggio sono in acciaio inox e sono protetti da capsule antivandalismo in poliammide. Il cartello informativo è in HPL sp. 13mm. le immagini e le scritte sono incise. Dim. 2,00 x 1,00 x H 1,50 m</w:t>
            </w:r>
          </w:p>
        </w:tc>
        <w:tc>
          <w:tcPr>
            <w:tcW w:w="709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jc w:val="center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1</w:t>
            </w:r>
          </w:p>
        </w:tc>
      </w:tr>
      <w:tr w:rsidR="00927E35" w:rsidRPr="00927E35" w:rsidTr="00927E35">
        <w:tc>
          <w:tcPr>
            <w:tcW w:w="1276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  <w:t>JPS16-S</w:t>
            </w:r>
          </w:p>
        </w:tc>
        <w:tc>
          <w:tcPr>
            <w:tcW w:w="7371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Struttura per percorso benessere "Salto della Cavallina - Senior". Attrezzatura per il fitness composta da 5 pali in legno lamellare incollato sez. 95x95 mm, h. 1 m,  con coperchio in </w:t>
            </w:r>
            <w:proofErr w:type="spellStart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polimiammide</w:t>
            </w:r>
            <w:proofErr w:type="spellEnd"/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.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Gli elementi di fissaggio sono in acciaio inox e sono protetti da capsule antivandalismo in poliammide. 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Il cartello informativo è in HPL sp. 13mm. le immagini e le scritte sono incise.</w:t>
            </w:r>
          </w:p>
        </w:tc>
        <w:tc>
          <w:tcPr>
            <w:tcW w:w="709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jc w:val="center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1</w:t>
            </w:r>
          </w:p>
        </w:tc>
      </w:tr>
      <w:tr w:rsidR="00927E35" w:rsidRPr="00927E35" w:rsidTr="00927E35">
        <w:tc>
          <w:tcPr>
            <w:tcW w:w="1276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b/>
                <w:bCs/>
                <w:color w:val="9966FF"/>
                <w:sz w:val="16"/>
                <w:szCs w:val="18"/>
              </w:rPr>
              <w:t>JPS20-S</w:t>
            </w:r>
          </w:p>
        </w:tc>
        <w:tc>
          <w:tcPr>
            <w:tcW w:w="7371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 xml:space="preserve">Struttura per percorso benessere "Salto della pulce". Serie di barre in acciaio inox poste in parallelo in orizzontale per il salto continuo. Sono sostenute da un telaio composto da 2 traversine e 4 montanti in pino lamellare incollato sez. 95x95 mm e protetti all’estremità con coperchi in poliammide di color nero. Gli elementi di fissaggio sono in acciaio inox e sono protetti da capsule antivandalismo in poliammide. </w:t>
            </w:r>
          </w:p>
          <w:p w:rsidR="00927E35" w:rsidRPr="00927E35" w:rsidRDefault="00927E35" w:rsidP="00927E35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Il cartello informativo è in HPL sp. 13mm. le immagini e le scritte sono incise.</w:t>
            </w:r>
          </w:p>
        </w:tc>
        <w:tc>
          <w:tcPr>
            <w:tcW w:w="709" w:type="dxa"/>
            <w:shd w:val="clear" w:color="auto" w:fill="auto"/>
          </w:tcPr>
          <w:p w:rsidR="00927E35" w:rsidRPr="00927E35" w:rsidRDefault="00927E35" w:rsidP="00927E35">
            <w:pPr>
              <w:autoSpaceDE w:val="0"/>
              <w:autoSpaceDN w:val="0"/>
              <w:adjustRightInd w:val="0"/>
              <w:ind w:left="284"/>
              <w:jc w:val="center"/>
              <w:rPr>
                <w:rFonts w:ascii="Arial" w:hAnsi="Arial" w:cs="Arial"/>
                <w:color w:val="9966FF"/>
                <w:sz w:val="16"/>
                <w:szCs w:val="18"/>
              </w:rPr>
            </w:pPr>
            <w:r w:rsidRPr="00927E35">
              <w:rPr>
                <w:rFonts w:ascii="Arial" w:hAnsi="Arial" w:cs="Arial"/>
                <w:color w:val="9966FF"/>
                <w:sz w:val="16"/>
                <w:szCs w:val="18"/>
              </w:rPr>
              <w:t>1</w:t>
            </w:r>
          </w:p>
        </w:tc>
      </w:tr>
    </w:tbl>
    <w:p w:rsidR="00927E35" w:rsidRPr="00927E35" w:rsidRDefault="00927E35" w:rsidP="00927E35">
      <w:pPr>
        <w:autoSpaceDE w:val="0"/>
        <w:autoSpaceDN w:val="0"/>
        <w:adjustRightInd w:val="0"/>
        <w:ind w:left="284"/>
        <w:rPr>
          <w:rFonts w:ascii="Arial" w:hAnsi="Arial" w:cs="Arial"/>
          <w:sz w:val="20"/>
          <w:szCs w:val="20"/>
        </w:rPr>
      </w:pPr>
    </w:p>
    <w:p w:rsidR="00927E35" w:rsidRPr="00927E35" w:rsidRDefault="00927E35" w:rsidP="00927E3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4"/>
        <w:jc w:val="both"/>
        <w:rPr>
          <w:rFonts w:ascii="Arial" w:hAnsi="Arial" w:cs="Arial"/>
          <w:sz w:val="20"/>
          <w:szCs w:val="20"/>
        </w:rPr>
      </w:pPr>
      <w:r w:rsidRPr="00927E35">
        <w:rPr>
          <w:rFonts w:ascii="Arial" w:hAnsi="Arial" w:cs="Arial"/>
          <w:sz w:val="20"/>
          <w:szCs w:val="20"/>
        </w:rPr>
        <w:t>Che il montaggio e la messa in opera delle stesse è stata effettuata da personale specializzato in conformità alle prescrizioni tecniche fornite dal produttore e in conformità alla norma UNI EN 1176–7 'Attrezzature per aree gioco – Guida all’installazione, ispezione, manutenzione e utilizzo.</w:t>
      </w:r>
    </w:p>
    <w:p w:rsidR="00927E35" w:rsidRDefault="00927E35" w:rsidP="00927E3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0"/>
          <w:szCs w:val="20"/>
        </w:rPr>
      </w:pPr>
    </w:p>
    <w:p w:rsidR="00927E35" w:rsidRDefault="00927E35" w:rsidP="00927E3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0"/>
          <w:szCs w:val="20"/>
        </w:rPr>
      </w:pPr>
    </w:p>
    <w:p w:rsidR="00927E35" w:rsidRPr="00927E35" w:rsidRDefault="00927E35" w:rsidP="00927E3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0"/>
          <w:szCs w:val="20"/>
        </w:rPr>
      </w:pPr>
    </w:p>
    <w:p w:rsidR="00927E35" w:rsidRPr="00927E35" w:rsidRDefault="00927E35" w:rsidP="00927E35">
      <w:pPr>
        <w:shd w:val="clear" w:color="auto" w:fill="9966FF"/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b/>
          <w:color w:val="FFFFFF" w:themeColor="background1"/>
          <w:sz w:val="18"/>
          <w:szCs w:val="18"/>
        </w:rPr>
      </w:pPr>
      <w:r w:rsidRPr="00927E35">
        <w:rPr>
          <w:rFonts w:ascii="Arial" w:hAnsi="Arial" w:cs="Arial"/>
          <w:b/>
          <w:color w:val="FFFFFF" w:themeColor="background1"/>
          <w:sz w:val="18"/>
          <w:szCs w:val="18"/>
        </w:rPr>
        <w:t>SICUREZZA NEI PARCHI GIOCO</w:t>
      </w: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  <w:r w:rsidRPr="00927E35">
        <w:rPr>
          <w:rFonts w:ascii="Arial" w:hAnsi="Arial" w:cs="Arial"/>
          <w:sz w:val="18"/>
          <w:szCs w:val="18"/>
        </w:rPr>
        <w:t>Lo scopo delle Normative è di dettare i requisiti generali di sicurezza delle attrezzature gioco, per uso sia individuale che collettivo da parte dei bambini.</w:t>
      </w: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  <w:r w:rsidRPr="00927E35">
        <w:rPr>
          <w:rFonts w:ascii="Arial" w:hAnsi="Arial" w:cs="Arial"/>
          <w:sz w:val="18"/>
          <w:szCs w:val="18"/>
        </w:rPr>
        <w:t>Tali requisiti, se correttamente applicati, proteggono il bambino da possibili pericoli che lo stesso può essere incapace di prevedere.</w:t>
      </w: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  <w:r w:rsidRPr="00927E35">
        <w:rPr>
          <w:rFonts w:ascii="Arial" w:hAnsi="Arial" w:cs="Arial"/>
          <w:sz w:val="18"/>
          <w:szCs w:val="18"/>
        </w:rPr>
        <w:t>Si rammenta che le attrezzature soggette alla Norma UNI EN 1176:2008, in funzione della loro possibile altezza di caduta al suolo, necessitano di un’adeguata pavimentazione anti-trauma (sabbia, ghiaino tondo lavato, corteccia, gomma a piastre o colata) come da normativa UNI EN 1177:2008.</w:t>
      </w: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  <w:r w:rsidRPr="00927E35">
        <w:rPr>
          <w:rFonts w:ascii="Arial" w:hAnsi="Arial" w:cs="Arial"/>
          <w:sz w:val="18"/>
          <w:szCs w:val="18"/>
        </w:rPr>
        <w:t>Il montaggio e la posizione delle strutture (aree di rispetto) devono essere eseguiti in conformità alle prescrizioni tecniche fornite dal produttore e seguendo quanto specificato dalla norma UNI 1176-7 “Attrezzature per aree gioco – Guida all’installazione, ispezione, manutenzione e utilizzo”.</w:t>
      </w:r>
    </w:p>
    <w:p w:rsid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  <w:r w:rsidRPr="00927E35">
        <w:rPr>
          <w:rFonts w:ascii="Arial" w:hAnsi="Arial" w:cs="Arial"/>
          <w:sz w:val="18"/>
          <w:szCs w:val="18"/>
        </w:rPr>
        <w:t>L’area gioco, nel suo complesso, deve rispettare la normativa tecnica UNI 11123:2004: “Progettazione dei parchi e aree gioco all’aperto”.</w:t>
      </w: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b/>
          <w:sz w:val="18"/>
          <w:szCs w:val="18"/>
        </w:rPr>
      </w:pPr>
      <w:r w:rsidRPr="00927E35">
        <w:rPr>
          <w:rFonts w:ascii="Arial" w:hAnsi="Arial" w:cs="Arial"/>
          <w:b/>
          <w:sz w:val="18"/>
          <w:szCs w:val="18"/>
        </w:rPr>
        <w:t>La non ottemperanza alle norme citate ne comporta il mancato rispetto, quindi la non conformità.</w:t>
      </w:r>
    </w:p>
    <w:p w:rsid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b/>
          <w:sz w:val="18"/>
          <w:szCs w:val="18"/>
        </w:rPr>
      </w:pPr>
      <w:r w:rsidRPr="00927E35">
        <w:rPr>
          <w:rFonts w:ascii="Arial" w:hAnsi="Arial" w:cs="Arial"/>
          <w:b/>
          <w:sz w:val="18"/>
          <w:szCs w:val="18"/>
        </w:rPr>
        <w:t>In tal caso PROLUDIC S.r.l. declina ogni responsabilità in merito.</w:t>
      </w: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b/>
          <w:sz w:val="18"/>
          <w:szCs w:val="18"/>
        </w:rPr>
      </w:pP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  <w:r w:rsidRPr="00927E35">
        <w:rPr>
          <w:rFonts w:ascii="Arial" w:hAnsi="Arial" w:cs="Arial"/>
          <w:sz w:val="18"/>
          <w:szCs w:val="18"/>
        </w:rPr>
        <w:t xml:space="preserve">Ogni attrezzatura ludica di </w:t>
      </w:r>
      <w:proofErr w:type="spellStart"/>
      <w:r w:rsidRPr="00927E35">
        <w:rPr>
          <w:rFonts w:ascii="Arial" w:hAnsi="Arial" w:cs="Arial"/>
          <w:sz w:val="18"/>
          <w:szCs w:val="18"/>
        </w:rPr>
        <w:t>Proludic</w:t>
      </w:r>
      <w:proofErr w:type="spellEnd"/>
      <w:r w:rsidRPr="00927E35">
        <w:rPr>
          <w:rFonts w:ascii="Arial" w:hAnsi="Arial" w:cs="Arial"/>
          <w:sz w:val="18"/>
          <w:szCs w:val="18"/>
        </w:rPr>
        <w:t xml:space="preserve"> è coperta da polizza RC prodotti, pertanto, si garantiscono eventuali danni accidentali dovuti a difetti di fabbricazione.</w:t>
      </w:r>
    </w:p>
    <w:p w:rsid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  <w:proofErr w:type="spellStart"/>
      <w:r w:rsidRPr="00927E35">
        <w:rPr>
          <w:rFonts w:ascii="Arial" w:hAnsi="Arial" w:cs="Arial"/>
          <w:sz w:val="18"/>
          <w:szCs w:val="18"/>
        </w:rPr>
        <w:t>Proludic</w:t>
      </w:r>
      <w:proofErr w:type="spellEnd"/>
      <w:r w:rsidRPr="00927E35">
        <w:rPr>
          <w:rFonts w:ascii="Arial" w:hAnsi="Arial" w:cs="Arial"/>
          <w:sz w:val="18"/>
          <w:szCs w:val="18"/>
        </w:rPr>
        <w:t xml:space="preserve"> indica l’età di utilizzo per tutte le sue attrezzature gioco. Si declina ogni responsabilità derivante da ogni tipo di uso improprio o manomissione dei manufatti, incluso la responsabilità di garanzia sugli stessi per danneggiamenti.</w:t>
      </w: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</w:p>
    <w:p w:rsidR="00927E35" w:rsidRPr="00927E35" w:rsidRDefault="00927E35" w:rsidP="00927E35">
      <w:pPr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sz w:val="18"/>
          <w:szCs w:val="18"/>
        </w:rPr>
      </w:pPr>
    </w:p>
    <w:p w:rsidR="00927E35" w:rsidRPr="00927E35" w:rsidRDefault="00927E35" w:rsidP="00927E35">
      <w:pPr>
        <w:shd w:val="clear" w:color="auto" w:fill="9966FF"/>
        <w:tabs>
          <w:tab w:val="left" w:pos="2340"/>
          <w:tab w:val="left" w:pos="4500"/>
          <w:tab w:val="left" w:pos="7200"/>
          <w:tab w:val="left" w:pos="9000"/>
        </w:tabs>
        <w:ind w:left="284"/>
        <w:jc w:val="both"/>
        <w:rPr>
          <w:rFonts w:ascii="Arial" w:hAnsi="Arial" w:cs="Arial"/>
          <w:b/>
          <w:color w:val="FFFFFF" w:themeColor="background1"/>
          <w:sz w:val="18"/>
          <w:szCs w:val="18"/>
        </w:rPr>
      </w:pPr>
      <w:r w:rsidRPr="00927E35">
        <w:rPr>
          <w:rFonts w:ascii="Arial" w:hAnsi="Arial" w:cs="Arial"/>
          <w:b/>
          <w:color w:val="FFFFFF" w:themeColor="background1"/>
          <w:sz w:val="18"/>
          <w:szCs w:val="18"/>
        </w:rPr>
        <w:lastRenderedPageBreak/>
        <w:t xml:space="preserve">ISPEZIONE E MANUTENZIONE </w:t>
      </w:r>
    </w:p>
    <w:p w:rsidR="00927E35" w:rsidRPr="00927E35" w:rsidRDefault="00927E35" w:rsidP="00927E3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927E35">
        <w:rPr>
          <w:rFonts w:ascii="Arial" w:hAnsi="Arial" w:cs="Arial"/>
          <w:color w:val="000000"/>
          <w:sz w:val="18"/>
          <w:szCs w:val="18"/>
          <w:lang w:val="en-US"/>
        </w:rPr>
        <w:t xml:space="preserve">La Norma </w:t>
      </w:r>
      <w:r w:rsidRPr="00927E35">
        <w:rPr>
          <w:rFonts w:ascii="Arial" w:hAnsi="Arial" w:cs="Arial"/>
          <w:sz w:val="18"/>
          <w:szCs w:val="18"/>
        </w:rPr>
        <w:t>UNI EN 1176-7 prevede che le attrezzature per parchi gioco debbano essere regolate da un servizio di ispezione e manutenzione ordinaria e correttiva, a carico dell’acquirente, per garantire le condizioni di funzionamento e sicurezza nel tempo. La frequenza dei controlli deve essere eseguita ad intervalli da uno a tre mesi o secondo quanto indicato dal fabbricante.</w:t>
      </w:r>
    </w:p>
    <w:p w:rsidR="00927E35" w:rsidRPr="00927E35" w:rsidRDefault="00927E35" w:rsidP="00927E35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sz w:val="20"/>
          <w:szCs w:val="20"/>
        </w:rPr>
      </w:pPr>
      <w:r w:rsidRPr="00927E35">
        <w:rPr>
          <w:rFonts w:ascii="Arial" w:hAnsi="Arial" w:cs="Arial"/>
          <w:color w:val="000000"/>
          <w:sz w:val="20"/>
          <w:szCs w:val="20"/>
        </w:rPr>
        <w:t>Si allegano certificati di conformità.</w:t>
      </w:r>
    </w:p>
    <w:p w:rsidR="00927E35" w:rsidRPr="00927E35" w:rsidRDefault="00927E35" w:rsidP="00927E35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sz w:val="20"/>
          <w:szCs w:val="20"/>
        </w:rPr>
      </w:pPr>
    </w:p>
    <w:p w:rsidR="00927E35" w:rsidRPr="00927E35" w:rsidRDefault="00927E35" w:rsidP="00927E35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sz w:val="20"/>
          <w:szCs w:val="20"/>
        </w:rPr>
      </w:pPr>
    </w:p>
    <w:p w:rsidR="00927E35" w:rsidRPr="00927E35" w:rsidRDefault="00927E35" w:rsidP="00927E35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</w:rPr>
      </w:pPr>
    </w:p>
    <w:p w:rsidR="00927E35" w:rsidRPr="00927E35" w:rsidRDefault="00927E35" w:rsidP="00927E35">
      <w:pPr>
        <w:autoSpaceDE w:val="0"/>
        <w:autoSpaceDN w:val="0"/>
        <w:adjustRightInd w:val="0"/>
        <w:spacing w:after="0" w:line="240" w:lineRule="auto"/>
        <w:ind w:left="3824" w:firstLine="424"/>
        <w:jc w:val="center"/>
        <w:rPr>
          <w:rFonts w:ascii="Arial" w:hAnsi="Arial" w:cs="Arial"/>
          <w:color w:val="000000"/>
        </w:rPr>
      </w:pPr>
      <w:r w:rsidRPr="00927E35">
        <w:rPr>
          <w:rFonts w:ascii="Arial" w:hAnsi="Arial" w:cs="Arial"/>
          <w:color w:val="000000"/>
        </w:rPr>
        <w:t>PROLUDIC s.r.l.</w:t>
      </w:r>
    </w:p>
    <w:p w:rsidR="00927E35" w:rsidRPr="00927E35" w:rsidRDefault="00927E35" w:rsidP="00927E35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</w:rPr>
      </w:pPr>
    </w:p>
    <w:p w:rsidR="00927E35" w:rsidRPr="00927E35" w:rsidRDefault="00927E35" w:rsidP="00927E35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</w:rPr>
      </w:pPr>
    </w:p>
    <w:p w:rsidR="00927E35" w:rsidRPr="00927E35" w:rsidRDefault="00927E35" w:rsidP="00927E35">
      <w:pPr>
        <w:autoSpaceDE w:val="0"/>
        <w:autoSpaceDN w:val="0"/>
        <w:adjustRightInd w:val="0"/>
        <w:spacing w:after="0"/>
        <w:ind w:left="3824" w:firstLine="424"/>
        <w:jc w:val="center"/>
        <w:rPr>
          <w:rFonts w:ascii="Arial" w:hAnsi="Arial" w:cs="Arial"/>
          <w:color w:val="000000"/>
        </w:rPr>
      </w:pPr>
      <w:r w:rsidRPr="00927E35">
        <w:rPr>
          <w:rFonts w:ascii="Arial" w:hAnsi="Arial" w:cs="Arial"/>
          <w:color w:val="000000"/>
        </w:rPr>
        <w:t>________________________</w:t>
      </w:r>
    </w:p>
    <w:p w:rsidR="00927E35" w:rsidRPr="00927E35" w:rsidRDefault="00927E35" w:rsidP="00927E35">
      <w:pPr>
        <w:autoSpaceDE w:val="0"/>
        <w:autoSpaceDN w:val="0"/>
        <w:adjustRightInd w:val="0"/>
        <w:spacing w:after="0"/>
        <w:ind w:left="3400" w:firstLine="424"/>
        <w:jc w:val="center"/>
        <w:rPr>
          <w:rFonts w:ascii="Arial" w:hAnsi="Arial" w:cs="Arial"/>
          <w:color w:val="000000"/>
          <w:sz w:val="16"/>
          <w:szCs w:val="18"/>
        </w:rPr>
      </w:pPr>
      <w:proofErr w:type="spellStart"/>
      <w:r w:rsidRPr="00927E35">
        <w:rPr>
          <w:rFonts w:ascii="Arial" w:hAnsi="Arial" w:cs="Arial"/>
          <w:color w:val="000000"/>
          <w:sz w:val="16"/>
          <w:szCs w:val="18"/>
        </w:rPr>
        <w:t>Bocchetti</w:t>
      </w:r>
      <w:proofErr w:type="spellEnd"/>
      <w:r w:rsidRPr="00927E35">
        <w:rPr>
          <w:rFonts w:ascii="Arial" w:hAnsi="Arial" w:cs="Arial"/>
          <w:color w:val="000000"/>
          <w:sz w:val="16"/>
          <w:szCs w:val="18"/>
        </w:rPr>
        <w:t xml:space="preserve"> Piero Natale</w:t>
      </w:r>
    </w:p>
    <w:p w:rsidR="00927E35" w:rsidRPr="00927E35" w:rsidRDefault="00927E35" w:rsidP="00927E35">
      <w:pPr>
        <w:autoSpaceDE w:val="0"/>
        <w:autoSpaceDN w:val="0"/>
        <w:adjustRightInd w:val="0"/>
        <w:spacing w:after="0"/>
        <w:ind w:left="3260" w:firstLine="564"/>
        <w:jc w:val="center"/>
        <w:rPr>
          <w:rFonts w:ascii="Arial" w:hAnsi="Arial" w:cs="Arial"/>
          <w:color w:val="000000"/>
          <w:sz w:val="14"/>
          <w:szCs w:val="18"/>
        </w:rPr>
      </w:pPr>
      <w:r w:rsidRPr="00927E35">
        <w:rPr>
          <w:rFonts w:ascii="Arial" w:hAnsi="Arial" w:cs="Arial"/>
          <w:color w:val="000000"/>
          <w:sz w:val="14"/>
          <w:szCs w:val="18"/>
        </w:rPr>
        <w:t>(Procuratore)</w:t>
      </w:r>
    </w:p>
    <w:p w:rsidR="00982206" w:rsidRPr="00927E35" w:rsidRDefault="00982206" w:rsidP="00927E35">
      <w:pPr>
        <w:autoSpaceDE w:val="0"/>
        <w:autoSpaceDN w:val="0"/>
        <w:adjustRightInd w:val="0"/>
        <w:spacing w:after="0"/>
        <w:ind w:left="284" w:right="-1"/>
        <w:jc w:val="both"/>
        <w:rPr>
          <w:rFonts w:ascii="Arial" w:hAnsi="Arial" w:cs="Arial"/>
          <w:color w:val="000000"/>
          <w:sz w:val="20"/>
        </w:rPr>
      </w:pPr>
    </w:p>
    <w:p w:rsidR="00982206" w:rsidRPr="00927E35" w:rsidRDefault="00982206" w:rsidP="00927E35">
      <w:pPr>
        <w:autoSpaceDE w:val="0"/>
        <w:autoSpaceDN w:val="0"/>
        <w:adjustRightInd w:val="0"/>
        <w:spacing w:after="0" w:line="240" w:lineRule="auto"/>
        <w:ind w:left="284" w:right="-1"/>
        <w:jc w:val="center"/>
        <w:rPr>
          <w:rFonts w:ascii="Arial" w:hAnsi="Arial" w:cs="Arial"/>
          <w:color w:val="000000"/>
          <w:sz w:val="20"/>
        </w:rPr>
      </w:pPr>
    </w:p>
    <w:p w:rsidR="00982206" w:rsidRDefault="00982206" w:rsidP="00982206">
      <w:pPr>
        <w:autoSpaceDE w:val="0"/>
        <w:autoSpaceDN w:val="0"/>
        <w:adjustRightInd w:val="0"/>
        <w:spacing w:after="0" w:line="240" w:lineRule="auto"/>
        <w:ind w:left="426" w:right="-1"/>
        <w:jc w:val="center"/>
        <w:rPr>
          <w:rFonts w:ascii="Arial" w:hAnsi="Arial" w:cs="Arial"/>
          <w:color w:val="000000"/>
          <w:sz w:val="20"/>
        </w:rPr>
      </w:pPr>
    </w:p>
    <w:p w:rsidR="00982206" w:rsidRDefault="00982206" w:rsidP="00982206">
      <w:pPr>
        <w:autoSpaceDE w:val="0"/>
        <w:autoSpaceDN w:val="0"/>
        <w:adjustRightInd w:val="0"/>
        <w:spacing w:after="0" w:line="240" w:lineRule="auto"/>
        <w:ind w:left="426" w:right="-1"/>
        <w:jc w:val="both"/>
        <w:rPr>
          <w:rFonts w:ascii="Arial" w:hAnsi="Arial" w:cs="Arial"/>
          <w:color w:val="000000"/>
          <w:sz w:val="20"/>
        </w:rPr>
      </w:pPr>
    </w:p>
    <w:sectPr w:rsidR="00982206" w:rsidSect="00927E3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851" w:bottom="720" w:left="851" w:header="709" w:footer="9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EEC" w:rsidRDefault="009E7EEC" w:rsidP="00806271">
      <w:pPr>
        <w:spacing w:after="0" w:line="240" w:lineRule="auto"/>
      </w:pPr>
      <w:r>
        <w:separator/>
      </w:r>
    </w:p>
  </w:endnote>
  <w:endnote w:type="continuationSeparator" w:id="0">
    <w:p w:rsidR="009E7EEC" w:rsidRDefault="009E7EEC" w:rsidP="0080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bel Bk BT">
    <w:panose1 w:val="020D04020202040209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0151ED">
    <w:pPr>
      <w:pStyle w:val="Pidipagina"/>
    </w:pPr>
  </w:p>
  <w:p w:rsidR="000151ED" w:rsidRDefault="00D84BDD">
    <w:pPr>
      <w:pStyle w:val="Pidipagina"/>
    </w:pPr>
    <w:r>
      <w:rPr>
        <w:noProof/>
      </w:rPr>
      <w:pict>
        <v:group id="_x0000_s1039" style="position:absolute;margin-left:480.5pt;margin-top:3.5pt;width:60.85pt;height:15.95pt;z-index:251658240" coordorigin="9695,16175" coordsize="1217,319">
          <v:rect id="_x0000_s1040" style="position:absolute;left:9695;top:16175;width:313;height:319" fillcolor="#b2de50" stroked="f"/>
          <v:rect id="_x0000_s1041" style="position:absolute;left:10155;top:16175;width:313;height:319" fillcolor="#f79646 [3209]" stroked="f"/>
          <v:rect id="_x0000_s1042" style="position:absolute;left:10599;top:16175;width:313;height:319" fillcolor="#96f" stroked="f"/>
        </v:group>
      </w:pict>
    </w:r>
  </w:p>
  <w:p w:rsidR="000151ED" w:rsidRDefault="000151ED">
    <w:pPr>
      <w:pStyle w:val="Pidipagina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2658110</wp:posOffset>
          </wp:positionH>
          <wp:positionV relativeFrom="paragraph">
            <wp:posOffset>-229870</wp:posOffset>
          </wp:positionV>
          <wp:extent cx="998855" cy="431165"/>
          <wp:effectExtent l="19050" t="0" r="0" b="0"/>
          <wp:wrapSquare wrapText="bothSides"/>
          <wp:docPr id="9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8855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color w:val="FFFFFF" w:themeColor="background1"/>
        <w:sz w:val="18"/>
        <w:szCs w:val="20"/>
      </w:rPr>
      <w:id w:val="1441786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color w:val="FFFFFF" w:themeColor="background1"/>
            <w:sz w:val="18"/>
            <w:szCs w:val="20"/>
          </w:rPr>
          <w:id w:val="104734591"/>
          <w:docPartObj>
            <w:docPartGallery w:val="Page Numbers (Top of Page)"/>
            <w:docPartUnique/>
          </w:docPartObj>
        </w:sdtPr>
        <w:sdtContent>
          <w:p w:rsidR="000151ED" w:rsidRPr="005E3C83" w:rsidRDefault="00D84BDD" w:rsidP="00DA0EC9">
            <w:pPr>
              <w:pStyle w:val="Pidipagina"/>
              <w:tabs>
                <w:tab w:val="clear" w:pos="9638"/>
                <w:tab w:val="right" w:pos="9781"/>
              </w:tabs>
              <w:ind w:right="-11"/>
              <w:jc w:val="right"/>
              <w:rPr>
                <w:rFonts w:ascii="Arial" w:hAnsi="Arial" w:cs="Arial"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5" style="position:absolute;left:0;text-align:left;margin-left:516.6pt;margin-top:-5.45pt;width:19.35pt;height:19.35pt;z-index:-251654144;mso-position-horizontal-relative:text;mso-position-vertical-relative:text" o:regroupid="2" fillcolor="#96f" stroked="f"/>
              </w:pict>
            </w: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3" style="position:absolute;left:0;text-align:left;margin-left:471.4pt;margin-top:-5.45pt;width:19.8pt;height:19.35pt;z-index:251652095;mso-position-horizontal-relative:text;mso-position-vertical-relative:text" o:regroupid="2" fillcolor="#b2de50" stroked="f"/>
              </w:pict>
            </w: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4" style="position:absolute;left:0;text-align:left;margin-left:494.4pt;margin-top:-5.45pt;width:19pt;height:19.35pt;z-index:-251655168;mso-position-horizontal-relative:text;mso-position-vertical-relative:text" o:regroupid="2" fillcolor="#f79646 [3209]" stroked="f"/>
              </w:pict>
            </w:r>
            <w:r w:rsidR="005E3C83" w:rsidRPr="005E3C83"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2917190</wp:posOffset>
                  </wp:positionH>
                  <wp:positionV relativeFrom="paragraph">
                    <wp:posOffset>-67945</wp:posOffset>
                  </wp:positionV>
                  <wp:extent cx="895350" cy="379095"/>
                  <wp:effectExtent l="19050" t="0" r="0" b="0"/>
                  <wp:wrapSquare wrapText="bothSides"/>
                  <wp:docPr id="11" name="Immagine 0" descr="proludic2011_RV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ludic2011_RVB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0EC9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 xml:space="preserve"> 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PAGE</w:instrTex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160F04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3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="005E3C83" w:rsidRPr="005E3C83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/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NUMPAGES</w:instrTex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160F04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3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="007D62D4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      </w:t>
            </w:r>
            <w:r w:rsidR="00D57436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         </w:t>
            </w:r>
          </w:p>
        </w:sdtContent>
      </w:sdt>
    </w:sdtContent>
  </w:sdt>
  <w:p w:rsidR="000151ED" w:rsidRDefault="000151ED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D84BDD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>
      <w:rPr>
        <w:rFonts w:ascii="Kabel Bk BT" w:hAnsi="Kabel Bk BT" w:cs="Arial"/>
        <w:b/>
        <w:noProof/>
        <w:color w:val="404040" w:themeColor="text1" w:themeTint="BF"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left:0;text-align:left;margin-left:-34.65pt;margin-top:6.15pt;width:601.7pt;height:.95pt;flip:y;z-index:251657216" o:connectortype="straight" strokecolor="#96f" strokeweight="2.25pt"/>
      </w:pict>
    </w:r>
  </w:p>
  <w:p w:rsidR="000151ED" w:rsidRPr="00D24383" w:rsidRDefault="00D84BDD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 w:rsidRPr="00D84BDD">
      <w:rPr>
        <w:b/>
        <w:noProof/>
      </w:rPr>
      <w:pict>
        <v:group id="_x0000_s1044" style="position:absolute;left:0;text-align:left;margin-left:464.4pt;margin-top:3.9pt;width:60.85pt;height:15.95pt;z-index:251659264" coordorigin="9695,16175" coordsize="1217,319">
          <v:rect id="_x0000_s1045" style="position:absolute;left:9695;top:16175;width:313;height:319" fillcolor="#b2de50" stroked="f"/>
          <v:rect id="_x0000_s1046" style="position:absolute;left:10155;top:16175;width:313;height:319" fillcolor="#f79646 [3209]" stroked="f"/>
          <v:rect id="_x0000_s1047" style="position:absolute;left:10599;top:16175;width:313;height:319" fillcolor="#96f" stroked="f"/>
        </v:group>
      </w:pict>
    </w:r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PROLUDIC S.r.l.: Via Cavour, 2 -15053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Castelnuovo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Scrivia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(AL) - Tel.:0131823022 Fax: 0131823422</w:t>
    </w:r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cr/>
      <w:t xml:space="preserve">info@proludic.it - PEC: proludicsrl@legalmail.it  - 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P.IVA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e C.F. 03500980960</w:t>
    </w:r>
  </w:p>
  <w:p w:rsidR="000151ED" w:rsidRDefault="000151E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EEC" w:rsidRDefault="009E7EEC" w:rsidP="00806271">
      <w:pPr>
        <w:spacing w:after="0" w:line="240" w:lineRule="auto"/>
      </w:pPr>
      <w:r>
        <w:separator/>
      </w:r>
    </w:p>
  </w:footnote>
  <w:footnote w:type="continuationSeparator" w:id="0">
    <w:p w:rsidR="009E7EEC" w:rsidRDefault="009E7EEC" w:rsidP="0080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71" w:rsidRDefault="00806271" w:rsidP="00806271">
    <w:pPr>
      <w:pStyle w:val="Intestazione"/>
      <w:ind w:left="-4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Pr="00927E35" w:rsidRDefault="00927E35" w:rsidP="00927E35">
    <w:pPr>
      <w:pStyle w:val="Intestazione"/>
      <w:tabs>
        <w:tab w:val="clear" w:pos="9638"/>
        <w:tab w:val="right" w:pos="10206"/>
      </w:tabs>
      <w:ind w:left="5387"/>
      <w:jc w:val="right"/>
      <w:rPr>
        <w:rFonts w:ascii="Arial Rounded MT Bold" w:hAnsi="Arial Rounded MT Bold"/>
        <w:color w:val="9966FF"/>
      </w:rPr>
    </w:pPr>
    <w:r w:rsidRPr="00927E35">
      <w:rPr>
        <w:noProof/>
        <w:color w:val="9966FF"/>
      </w:rPr>
      <w:pict>
        <v:rect id="_x0000_s1028" style="position:absolute;left:0;text-align:left;margin-left:-17.65pt;margin-top:204.7pt;width:15.65pt;height:15.95pt;z-index:251665408" o:regroupid="3" fillcolor="#f79646 [3209]" stroked="f"/>
      </w:pict>
    </w:r>
    <w:r w:rsidRPr="00927E35">
      <w:rPr>
        <w:noProof/>
        <w:color w:val="9966FF"/>
      </w:rPr>
      <w:pict>
        <v:rect id="_x0000_s1027" style="position:absolute;left:0;text-align:left;margin-left:-17.65pt;margin-top:184.3pt;width:15.65pt;height:15.95pt;z-index:251664384" o:regroupid="3" fillcolor="#b2de50" stroked="f"/>
      </w:pict>
    </w:r>
    <w:r w:rsidRPr="00927E35">
      <w:rPr>
        <w:noProof/>
        <w:color w:val="99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left:0;text-align:left;margin-left:-17.65pt;margin-top:-42.1pt;width:15.65pt;height:220.7pt;z-index:251663360" o:regroupid="3" fillcolor="#96f" stroked="f">
          <v:textbox style="layout-flow:vertical;mso-layout-flow-alt:bottom-to-top;mso-next-textbox:#_x0000_s1030" inset=".2mm,10mm,.2mm,2mm">
            <w:txbxContent>
              <w:p w:rsidR="00806271" w:rsidRPr="00806271" w:rsidRDefault="00806271" w:rsidP="00806271">
                <w:pPr>
                  <w:jc w:val="right"/>
                  <w:rPr>
                    <w:rFonts w:ascii="Arial Rounded MT Bold" w:hAnsi="Arial Rounded MT Bold"/>
                    <w:color w:val="FFFFFF" w:themeColor="background1"/>
                  </w:rPr>
                </w:pPr>
                <w:r w:rsidRPr="00FC3A72">
                  <w:rPr>
                    <w:rFonts w:ascii="Arial Rounded MT Bold" w:hAnsi="Arial Rounded MT Bold"/>
                    <w:color w:val="FFFFFF" w:themeColor="background1"/>
                  </w:rPr>
                  <w:t xml:space="preserve">www.proludic.it  </w:t>
                </w:r>
                <w:r w:rsidRPr="00806271">
                  <w:rPr>
                    <w:rFonts w:ascii="Arial Rounded MT Bold" w:hAnsi="Arial Rounded MT Bold"/>
                    <w:color w:val="FFFFFF" w:themeColor="background1"/>
                    <w:sz w:val="20"/>
                  </w:rPr>
                  <w:t xml:space="preserve">  </w:t>
                </w:r>
                <w:r w:rsidRPr="00806271">
                  <w:rPr>
                    <w:rFonts w:ascii="Arial Rounded MT Bold" w:hAnsi="Arial Rounded MT Bold"/>
                    <w:color w:val="FFFFFF" w:themeColor="background1"/>
                  </w:rPr>
                  <w:t xml:space="preserve">   </w:t>
                </w:r>
              </w:p>
            </w:txbxContent>
          </v:textbox>
        </v:shape>
      </w:pict>
    </w:r>
    <w:r w:rsidR="000151ED" w:rsidRPr="00927E35">
      <w:rPr>
        <w:noProof/>
        <w:color w:val="9966FF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354965</wp:posOffset>
          </wp:positionH>
          <wp:positionV relativeFrom="paragraph">
            <wp:posOffset>-337820</wp:posOffset>
          </wp:positionV>
          <wp:extent cx="2150110" cy="922655"/>
          <wp:effectExtent l="19050" t="0" r="2540" b="0"/>
          <wp:wrapSquare wrapText="bothSides"/>
          <wp:docPr id="1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0110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27E35">
      <w:rPr>
        <w:rFonts w:ascii="Arial Rounded MT Bold" w:hAnsi="Arial Rounded MT Bold"/>
        <w:color w:val="9966FF"/>
      </w:rPr>
      <w:t>Dich</w:t>
    </w:r>
    <w:r>
      <w:rPr>
        <w:rFonts w:ascii="Arial Rounded MT Bold" w:hAnsi="Arial Rounded MT Bold"/>
        <w:color w:val="9966FF"/>
      </w:rPr>
      <w:t>i</w:t>
    </w:r>
    <w:r w:rsidRPr="00927E35">
      <w:rPr>
        <w:rFonts w:ascii="Arial Rounded MT Bold" w:hAnsi="Arial Rounded MT Bold"/>
        <w:color w:val="9966FF"/>
      </w:rPr>
      <w:t>arazione conformità posa e fine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42B0"/>
    <w:multiLevelType w:val="hybridMultilevel"/>
    <w:tmpl w:val="4BD6D32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F85DA6"/>
    <w:multiLevelType w:val="hybridMultilevel"/>
    <w:tmpl w:val="C3181C70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B5510E9"/>
    <w:multiLevelType w:val="hybridMultilevel"/>
    <w:tmpl w:val="C67618B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EB5A6E"/>
    <w:multiLevelType w:val="hybridMultilevel"/>
    <w:tmpl w:val="54FE2A4E"/>
    <w:lvl w:ilvl="0" w:tplc="14FC709A">
      <w:numFmt w:val="bullet"/>
      <w:lvlText w:val="-"/>
      <w:lvlJc w:val="left"/>
      <w:pPr>
        <w:ind w:left="6795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</w:abstractNum>
  <w:abstractNum w:abstractNumId="4">
    <w:nsid w:val="367C7286"/>
    <w:multiLevelType w:val="hybridMultilevel"/>
    <w:tmpl w:val="601CA192"/>
    <w:lvl w:ilvl="0" w:tplc="F35C9324">
      <w:numFmt w:val="bullet"/>
      <w:lvlText w:val="-"/>
      <w:lvlJc w:val="left"/>
      <w:pPr>
        <w:ind w:left="6795" w:hanging="360"/>
      </w:pPr>
      <w:rPr>
        <w:rFonts w:ascii="Arial Rounded MT Bold" w:eastAsiaTheme="minorEastAsia" w:hAnsi="Arial Rounded MT Bol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</w:abstractNum>
  <w:abstractNum w:abstractNumId="5">
    <w:nsid w:val="3A050530"/>
    <w:multiLevelType w:val="hybridMultilevel"/>
    <w:tmpl w:val="03E82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44967"/>
    <w:multiLevelType w:val="hybridMultilevel"/>
    <w:tmpl w:val="5B1CCE76"/>
    <w:lvl w:ilvl="0" w:tplc="04100019">
      <w:start w:val="1"/>
      <w:numFmt w:val="lowerLetter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9CB3F71"/>
    <w:multiLevelType w:val="hybridMultilevel"/>
    <w:tmpl w:val="212C052E"/>
    <w:lvl w:ilvl="0" w:tplc="1AF47FCA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A219EB"/>
    <w:multiLevelType w:val="hybridMultilevel"/>
    <w:tmpl w:val="A1E44E7C"/>
    <w:lvl w:ilvl="0" w:tplc="0410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365F70"/>
    <w:multiLevelType w:val="hybridMultilevel"/>
    <w:tmpl w:val="63F4F0A0"/>
    <w:lvl w:ilvl="0" w:tplc="7D6289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 w:tplc="D0947E2C">
      <w:start w:val="1"/>
      <w:numFmt w:val="decimal"/>
      <w:lvlText w:val="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030B68"/>
    <w:multiLevelType w:val="hybridMultilevel"/>
    <w:tmpl w:val="998AAB3E"/>
    <w:lvl w:ilvl="0" w:tplc="E8940C36">
      <w:start w:val="1"/>
      <w:numFmt w:val="lowerLetter"/>
      <w:lvlText w:val="%1)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5F368C"/>
    <w:multiLevelType w:val="hybridMultilevel"/>
    <w:tmpl w:val="D2B039F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9F460E"/>
    <w:multiLevelType w:val="hybridMultilevel"/>
    <w:tmpl w:val="ED406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12"/>
  </w:num>
  <w:num w:numId="10">
    <w:abstractNumId w:val="1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9218">
      <o:colormru v:ext="edit" colors="#cf6,#b2de50,#96f"/>
      <o:colormenu v:ext="edit" fillcolor="none [3209]" strokecolor="#96f" shadowcolor="none"/>
    </o:shapedefaults>
    <o:shapelayout v:ext="edit">
      <o:idmap v:ext="edit" data="1"/>
      <o:rules v:ext="edit">
        <o:r id="V:Rule2" type="connector" idref="#_x0000_s1034"/>
      </o:rules>
      <o:regrouptable v:ext="edit">
        <o:entry new="1" old="0"/>
        <o:entry new="2" old="0"/>
        <o:entry new="3" old="0"/>
      </o:regrouptable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6271"/>
    <w:rsid w:val="000151ED"/>
    <w:rsid w:val="00015D1F"/>
    <w:rsid w:val="00016A0E"/>
    <w:rsid w:val="000935C2"/>
    <w:rsid w:val="000D2141"/>
    <w:rsid w:val="000E6B04"/>
    <w:rsid w:val="000F1701"/>
    <w:rsid w:val="00160F04"/>
    <w:rsid w:val="001C482C"/>
    <w:rsid w:val="001D2948"/>
    <w:rsid w:val="00380252"/>
    <w:rsid w:val="0038747E"/>
    <w:rsid w:val="003B3E93"/>
    <w:rsid w:val="00494C2B"/>
    <w:rsid w:val="004A247A"/>
    <w:rsid w:val="004A7E22"/>
    <w:rsid w:val="004B6793"/>
    <w:rsid w:val="004E6972"/>
    <w:rsid w:val="005117F7"/>
    <w:rsid w:val="0053259C"/>
    <w:rsid w:val="00535A66"/>
    <w:rsid w:val="00586F43"/>
    <w:rsid w:val="005E3C83"/>
    <w:rsid w:val="005F6884"/>
    <w:rsid w:val="00677341"/>
    <w:rsid w:val="006A54F0"/>
    <w:rsid w:val="006E1AA4"/>
    <w:rsid w:val="00726877"/>
    <w:rsid w:val="007D62D4"/>
    <w:rsid w:val="00806271"/>
    <w:rsid w:val="0086135C"/>
    <w:rsid w:val="00866812"/>
    <w:rsid w:val="00913BE8"/>
    <w:rsid w:val="00927E35"/>
    <w:rsid w:val="00982206"/>
    <w:rsid w:val="009965D1"/>
    <w:rsid w:val="009C50B9"/>
    <w:rsid w:val="009E7EEC"/>
    <w:rsid w:val="009F07EB"/>
    <w:rsid w:val="00A50A37"/>
    <w:rsid w:val="00A76556"/>
    <w:rsid w:val="00B40E8C"/>
    <w:rsid w:val="00B760F5"/>
    <w:rsid w:val="00C01729"/>
    <w:rsid w:val="00C56FC0"/>
    <w:rsid w:val="00C62942"/>
    <w:rsid w:val="00CF4FED"/>
    <w:rsid w:val="00D24383"/>
    <w:rsid w:val="00D3530E"/>
    <w:rsid w:val="00D57436"/>
    <w:rsid w:val="00D82576"/>
    <w:rsid w:val="00D84BDD"/>
    <w:rsid w:val="00D87925"/>
    <w:rsid w:val="00DA0EC9"/>
    <w:rsid w:val="00E05042"/>
    <w:rsid w:val="00E065BD"/>
    <w:rsid w:val="00E14044"/>
    <w:rsid w:val="00E348F2"/>
    <w:rsid w:val="00ED5683"/>
    <w:rsid w:val="00F2063D"/>
    <w:rsid w:val="00F5137A"/>
    <w:rsid w:val="00FC3A72"/>
    <w:rsid w:val="00FE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cf6,#b2de50,#96f"/>
      <o:colormenu v:ext="edit" fillcolor="none [3209]" strokecolor="#96f" shadowcolor="none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17F7"/>
  </w:style>
  <w:style w:type="paragraph" w:styleId="Titolo1">
    <w:name w:val="heading 1"/>
    <w:basedOn w:val="Normale"/>
    <w:next w:val="Normale"/>
    <w:link w:val="Titolo1Carattere"/>
    <w:qFormat/>
    <w:rsid w:val="00982206"/>
    <w:pPr>
      <w:keepNext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Titolo2">
    <w:name w:val="heading 2"/>
    <w:basedOn w:val="Normale"/>
    <w:next w:val="Normale"/>
    <w:link w:val="Titolo2Carattere"/>
    <w:qFormat/>
    <w:rsid w:val="00982206"/>
    <w:pPr>
      <w:keepNext/>
      <w:autoSpaceDE w:val="0"/>
      <w:autoSpaceDN w:val="0"/>
      <w:adjustRightInd w:val="0"/>
      <w:spacing w:after="0" w:line="240" w:lineRule="auto"/>
      <w:ind w:right="252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Titolo8">
    <w:name w:val="heading 8"/>
    <w:basedOn w:val="Normale"/>
    <w:next w:val="Normale"/>
    <w:link w:val="Titolo8Carattere"/>
    <w:qFormat/>
    <w:rsid w:val="00982206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06271"/>
  </w:style>
  <w:style w:type="paragraph" w:styleId="Pidipagina">
    <w:name w:val="footer"/>
    <w:basedOn w:val="Normale"/>
    <w:link w:val="PidipaginaCarattere"/>
    <w:uiPriority w:val="99"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27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627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806271"/>
    <w:rPr>
      <w:color w:val="0000FF" w:themeColor="hyperlink"/>
      <w:u w:val="single"/>
    </w:rPr>
  </w:style>
  <w:style w:type="table" w:styleId="Elencomedio2-Colore3">
    <w:name w:val="Medium List 2 Accent 3"/>
    <w:basedOn w:val="Tabellanormale"/>
    <w:uiPriority w:val="66"/>
    <w:rsid w:val="00F513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-Colore3">
    <w:name w:val="Medium Grid 1 Accent 3"/>
    <w:basedOn w:val="Tabellanormale"/>
    <w:uiPriority w:val="67"/>
    <w:rsid w:val="00F51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tabella">
    <w:name w:val="Table Grid"/>
    <w:basedOn w:val="Tabellanormale"/>
    <w:uiPriority w:val="59"/>
    <w:rsid w:val="00F51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E05042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rsid w:val="00982206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rsid w:val="00982206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rsid w:val="00982206"/>
    <w:rPr>
      <w:rFonts w:ascii="Times New Roman" w:eastAsia="Times New Roman" w:hAnsi="Times New Roman" w:cs="Times New Roman"/>
      <w:sz w:val="24"/>
      <w:szCs w:val="20"/>
    </w:rPr>
  </w:style>
  <w:style w:type="paragraph" w:customStyle="1" w:styleId="Corpotesto">
    <w:name w:val="Corpo testo"/>
    <w:basedOn w:val="Normale"/>
    <w:semiHidden/>
    <w:rsid w:val="00982206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9822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3</cp:revision>
  <cp:lastPrinted>2016-01-08T15:39:00Z</cp:lastPrinted>
  <dcterms:created xsi:type="dcterms:W3CDTF">2016-01-08T15:39:00Z</dcterms:created>
  <dcterms:modified xsi:type="dcterms:W3CDTF">2016-01-08T16:03:00Z</dcterms:modified>
</cp:coreProperties>
</file>