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10"/>
        <w:rPr>
          <w:rFonts w:ascii="Times New Roman"/>
          <w:sz w:val="23"/>
        </w:rPr>
      </w:pPr>
    </w:p>
    <w:p>
      <w:pPr>
        <w:pStyle w:val="Heading1"/>
        <w:numPr>
          <w:ilvl w:val="0"/>
          <w:numId w:val="1"/>
        </w:numPr>
        <w:tabs>
          <w:tab w:pos="523" w:val="left" w:leader="none"/>
        </w:tabs>
        <w:spacing w:line="240" w:lineRule="auto" w:before="0" w:after="0"/>
        <w:ind w:left="522" w:right="0" w:hanging="249"/>
        <w:jc w:val="both"/>
      </w:pPr>
      <w:r>
        <w:rPr/>
        <w:t>Oggetto del</w:t>
      </w:r>
      <w:r>
        <w:rPr>
          <w:spacing w:val="-21"/>
        </w:rPr>
        <w:t> </w:t>
      </w:r>
      <w:r>
        <w:rPr/>
        <w:t>servizio</w:t>
      </w:r>
    </w:p>
    <w:p>
      <w:pPr>
        <w:pStyle w:val="BodyText"/>
        <w:spacing w:before="3"/>
        <w:rPr>
          <w:b/>
        </w:rPr>
      </w:pPr>
    </w:p>
    <w:p>
      <w:pPr>
        <w:pStyle w:val="BodyText"/>
        <w:ind w:left="273" w:right="281"/>
        <w:jc w:val="both"/>
      </w:pPr>
      <w:r>
        <w:rPr/>
        <w:t>Il presente servizio è volto a consentire agli esercenti commerciali, di incassare i buoni connessi all’utilizzo del bonus del valore di 500€ a coloro che abbiano compiuto diciott’anni nel 2016 e nel 2017 e di vedersene liquidare il controvalore dal Ministero dei beni e delle attività culturali e del turismo che è fornitore del presente servizio.</w:t>
      </w:r>
    </w:p>
    <w:p>
      <w:pPr>
        <w:pStyle w:val="BodyText"/>
        <w:spacing w:line="281" w:lineRule="exact" w:before="1"/>
        <w:ind w:left="273"/>
        <w:jc w:val="both"/>
      </w:pPr>
      <w:r>
        <w:rPr/>
        <w:t>Il servizio è disciplinato dalle presenti condizioni generali, dai commi 979 e 980 dell’art.</w:t>
      </w:r>
    </w:p>
    <w:p>
      <w:pPr>
        <w:pStyle w:val="BodyText"/>
        <w:tabs>
          <w:tab w:pos="3172" w:val="left" w:leader="none"/>
          <w:tab w:pos="5110" w:val="left" w:leader="none"/>
          <w:tab w:pos="7779" w:val="left" w:leader="none"/>
        </w:tabs>
        <w:ind w:left="273" w:right="330"/>
      </w:pPr>
      <w:r>
        <w:rPr/>
        <w:t>1 della Legge 28 dicembre 2015, n. 208, Disposizioni per la formazione del bilancio annuale e pluriennale dello Stato (legge di stabilità 2016) e al comma 626 dell’articolo  1 della Legge 11 dicembre 2016, n. 232 recante «Bilancio di previsione dello Stato per l’anno finanziario 2017 e bilancio pluriennale per il triennio 2017-2019» (legge di stabilità 2017) nonché dal relativo Decreto del Presidente del Consiglio dei Ministri disponibile</w:t>
        <w:tab/>
        <w:t>al</w:t>
        <w:tab/>
        <w:t>seguente</w:t>
        <w:tab/>
      </w:r>
      <w:r>
        <w:rPr>
          <w:spacing w:val="-1"/>
        </w:rPr>
        <w:t>collegamento:</w:t>
      </w:r>
      <w:r>
        <w:rPr>
          <w:color w:val="0000FF"/>
          <w:spacing w:val="-1"/>
        </w:rPr>
        <w:t> </w:t>
      </w:r>
      <w:hyperlink r:id="rId7">
        <w:r>
          <w:rPr>
            <w:color w:val="0000FF"/>
            <w:u w:val="single" w:color="0000FF"/>
          </w:rPr>
          <w:t>http://www.gazzettaufficiale.it/atto/serie_generale/caricaDettaglioAtto/originario?at</w:t>
        </w:r>
      </w:hyperlink>
      <w:hyperlink r:id="rId7">
        <w:r>
          <w:rPr>
            <w:color w:val="0000FF"/>
          </w:rPr>
          <w:t> </w:t>
        </w:r>
        <w:r>
          <w:rPr>
            <w:color w:val="0000FF"/>
            <w:u w:val="single" w:color="0000FF"/>
          </w:rPr>
          <w:t>to.dataPubblicazioneGazzetta=2017-09-</w:t>
        </w:r>
      </w:hyperlink>
      <w:hyperlink r:id="rId7">
        <w:r>
          <w:rPr>
            <w:color w:val="0000FF"/>
          </w:rPr>
          <w:t> </w:t>
        </w:r>
        <w:r>
          <w:rPr>
            <w:color w:val="0000FF"/>
            <w:u w:val="single" w:color="0000FF"/>
          </w:rPr>
          <w:t>18&amp;atto.codiceRedazionale=17G00146&amp;elenco30giorni=false</w:t>
        </w:r>
      </w:hyperlink>
    </w:p>
    <w:p>
      <w:pPr>
        <w:pStyle w:val="BodyText"/>
        <w:spacing w:before="9"/>
        <w:rPr>
          <w:sz w:val="23"/>
        </w:rPr>
      </w:pPr>
    </w:p>
    <w:p>
      <w:pPr>
        <w:pStyle w:val="Heading1"/>
        <w:numPr>
          <w:ilvl w:val="0"/>
          <w:numId w:val="1"/>
        </w:numPr>
        <w:tabs>
          <w:tab w:pos="523" w:val="left" w:leader="none"/>
        </w:tabs>
        <w:spacing w:line="240" w:lineRule="auto" w:before="0" w:after="0"/>
        <w:ind w:left="522" w:right="0" w:hanging="249"/>
        <w:jc w:val="both"/>
      </w:pPr>
      <w:r>
        <w:rPr/>
        <w:t>Registrazione</w:t>
      </w:r>
      <w:r>
        <w:rPr>
          <w:spacing w:val="-13"/>
        </w:rPr>
        <w:t> </w:t>
      </w:r>
      <w:r>
        <w:rPr/>
        <w:t>ed</w:t>
      </w:r>
      <w:r>
        <w:rPr>
          <w:spacing w:val="-15"/>
        </w:rPr>
        <w:t> </w:t>
      </w:r>
      <w:r>
        <w:rPr/>
        <w:t>utilizzo</w:t>
      </w:r>
      <w:r>
        <w:rPr>
          <w:spacing w:val="-13"/>
        </w:rPr>
        <w:t> </w:t>
      </w:r>
      <w:r>
        <w:rPr/>
        <w:t>del</w:t>
      </w:r>
      <w:r>
        <w:rPr>
          <w:spacing w:val="-13"/>
        </w:rPr>
        <w:t> </w:t>
      </w:r>
      <w:r>
        <w:rPr/>
        <w:t>servizio</w:t>
      </w:r>
    </w:p>
    <w:p>
      <w:pPr>
        <w:pStyle w:val="BodyText"/>
        <w:spacing w:before="4"/>
        <w:ind w:left="273" w:right="160"/>
      </w:pPr>
      <w:r>
        <w:rPr/>
        <w:t>Per partecipare all’iniziativa ed essere inserito nell’elenco degli esercizi commerciali presso i quali i buoni di cui al punto precedente possono essere utilizzati, l’esercente deve registrarsi al presente servizio utilizzando le  credenziali,  già  in  suo  possesso, fornite dall’Agenzie delle Entrate, seguendo le istruzioni riportate qui: [</w:t>
      </w:r>
      <w:hyperlink r:id="rId8">
        <w:r>
          <w:rPr>
            <w:color w:val="0000FF"/>
            <w:u w:val="single" w:color="0000FF"/>
          </w:rPr>
          <w:t>https://assistenza.agenziaentrate.gov.it/assistenza/index.asp?idFolder=471&amp;idServ=1</w:t>
        </w:r>
      </w:hyperlink>
      <w:r>
        <w:rPr/>
        <w:t>]</w:t>
      </w:r>
    </w:p>
    <w:p>
      <w:pPr>
        <w:pStyle w:val="BodyText"/>
        <w:spacing w:line="281" w:lineRule="exact"/>
        <w:ind w:left="273"/>
        <w:jc w:val="both"/>
      </w:pPr>
      <w:r>
        <w:rPr/>
        <w:t>.</w:t>
      </w:r>
    </w:p>
    <w:p>
      <w:pPr>
        <w:pStyle w:val="BodyText"/>
        <w:ind w:left="273" w:right="279"/>
        <w:jc w:val="both"/>
      </w:pPr>
      <w:r>
        <w:rPr/>
        <w:t>L’esercente prende atto ed accetta che il servizio lo identificherà, riconoscendogli accesso alle funzionalità di verifica, incasso e richiesta di liquidazione dei buono attraverso le citate credenziali e che, pertanto, chiunque entrasse fraudolentemente in possesso delle stesse potrà essere abilitato all’utilizzo del servizio medesimo al suo posto.</w:t>
      </w:r>
    </w:p>
    <w:p>
      <w:pPr>
        <w:pStyle w:val="BodyText"/>
        <w:spacing w:before="2"/>
        <w:ind w:left="273" w:right="284"/>
        <w:jc w:val="both"/>
      </w:pPr>
      <w:r>
        <w:rPr/>
        <w:t>Al riguardo l’utente prende atto di essere stato informato dell’obbligo di tempestiva denuncia in ogni ipotesi di perdita di possesso delle citate credenziali al fine di consentirne  il blocco immediato.</w:t>
      </w:r>
    </w:p>
    <w:p>
      <w:pPr>
        <w:pStyle w:val="BodyText"/>
        <w:ind w:left="273" w:right="281"/>
        <w:jc w:val="both"/>
      </w:pPr>
      <w:r>
        <w:rPr/>
        <w:t>L’esercente prende altresì atto che ai fini della liquidazione dei buoni incassati dovrà disporre o dotarsi di un sistema di fatturazione elettronica conforme alla disciplina  vigente e che, in assenza, non potrà, in alcun modo, vedersi  liquidare  il  valore  dei buoni eventualmente incassati.</w:t>
      </w:r>
    </w:p>
    <w:p>
      <w:pPr>
        <w:pStyle w:val="BodyText"/>
        <w:rPr>
          <w:sz w:val="28"/>
        </w:rPr>
      </w:pPr>
    </w:p>
    <w:p>
      <w:pPr>
        <w:pStyle w:val="Heading1"/>
        <w:numPr>
          <w:ilvl w:val="0"/>
          <w:numId w:val="1"/>
        </w:numPr>
        <w:tabs>
          <w:tab w:pos="523" w:val="left" w:leader="none"/>
        </w:tabs>
        <w:spacing w:line="240" w:lineRule="auto" w:before="231" w:after="0"/>
        <w:ind w:left="522" w:right="0" w:hanging="249"/>
        <w:jc w:val="both"/>
      </w:pPr>
      <w:r>
        <w:rPr/>
        <w:t>Incasso dei buono di</w:t>
      </w:r>
      <w:r>
        <w:rPr>
          <w:spacing w:val="-29"/>
        </w:rPr>
        <w:t> </w:t>
      </w:r>
      <w:r>
        <w:rPr/>
        <w:t>spesa</w:t>
      </w:r>
    </w:p>
    <w:p>
      <w:pPr>
        <w:pStyle w:val="BodyText"/>
        <w:spacing w:before="4"/>
        <w:ind w:left="273" w:right="281"/>
        <w:jc w:val="both"/>
      </w:pPr>
      <w:r>
        <w:rPr/>
        <w:t>L’esercente prende </w:t>
      </w:r>
      <w:r>
        <w:rPr>
          <w:spacing w:val="-3"/>
        </w:rPr>
        <w:t>atto </w:t>
      </w:r>
      <w:r>
        <w:rPr/>
        <w:t>che i buoni generati attraverso il servizio possono essere utilizzati esclusivamente per la vendita, al solo soggetto il cui nome è riportato sui  buoni medesimi, dei  seguenti beni e</w:t>
      </w:r>
      <w:r>
        <w:rPr>
          <w:spacing w:val="-39"/>
        </w:rPr>
        <w:t> </w:t>
      </w:r>
      <w:r>
        <w:rPr/>
        <w:t>servizi:</w:t>
      </w:r>
    </w:p>
    <w:p>
      <w:pPr>
        <w:pStyle w:val="BodyText"/>
        <w:spacing w:before="2"/>
        <w:rPr>
          <w:sz w:val="23"/>
        </w:rPr>
      </w:pPr>
    </w:p>
    <w:p>
      <w:pPr>
        <w:pStyle w:val="BodyText"/>
        <w:ind w:left="868"/>
        <w:rPr>
          <w:rFonts w:ascii="Times New Roman"/>
        </w:rPr>
      </w:pPr>
      <w:r>
        <w:rPr>
          <w:rFonts w:ascii="Times New Roman"/>
        </w:rPr>
        <w:t>Per i nati nel 1998 (bonus 2016)</w:t>
      </w:r>
    </w:p>
    <w:p>
      <w:pPr>
        <w:pStyle w:val="BodyText"/>
        <w:spacing w:before="11"/>
        <w:rPr>
          <w:rFonts w:ascii="Times New Roman"/>
          <w:sz w:val="23"/>
        </w:rPr>
      </w:pPr>
    </w:p>
    <w:p>
      <w:pPr>
        <w:pStyle w:val="ListParagraph"/>
        <w:numPr>
          <w:ilvl w:val="1"/>
          <w:numId w:val="1"/>
        </w:numPr>
        <w:tabs>
          <w:tab w:pos="1174" w:val="left" w:leader="none"/>
        </w:tabs>
        <w:spacing w:line="240" w:lineRule="auto" w:before="0" w:after="0"/>
        <w:ind w:left="1154" w:right="0" w:hanging="286"/>
        <w:jc w:val="left"/>
        <w:rPr>
          <w:rFonts w:ascii="Times New Roman"/>
          <w:sz w:val="24"/>
        </w:rPr>
      </w:pPr>
      <w:r>
        <w:rPr>
          <w:rFonts w:ascii="Times New Roman"/>
          <w:sz w:val="24"/>
        </w:rPr>
        <w:t>biglietti per rappresentazioni teatrali e cinematografiche e spettacoli dal</w:t>
      </w:r>
      <w:r>
        <w:rPr>
          <w:rFonts w:ascii="Times New Roman"/>
          <w:spacing w:val="-15"/>
          <w:sz w:val="24"/>
        </w:rPr>
        <w:t> </w:t>
      </w:r>
      <w:r>
        <w:rPr>
          <w:rFonts w:ascii="Times New Roman"/>
          <w:sz w:val="24"/>
        </w:rPr>
        <w:t>vivo;</w:t>
      </w:r>
    </w:p>
    <w:p>
      <w:pPr>
        <w:pStyle w:val="ListParagraph"/>
        <w:numPr>
          <w:ilvl w:val="1"/>
          <w:numId w:val="1"/>
        </w:numPr>
        <w:tabs>
          <w:tab w:pos="1188" w:val="left" w:leader="none"/>
        </w:tabs>
        <w:spacing w:line="240" w:lineRule="auto" w:before="0" w:after="0"/>
        <w:ind w:left="1187" w:right="0" w:hanging="319"/>
        <w:jc w:val="left"/>
        <w:rPr>
          <w:rFonts w:ascii="Times New Roman"/>
          <w:sz w:val="24"/>
        </w:rPr>
      </w:pPr>
      <w:r>
        <w:rPr>
          <w:rFonts w:ascii="Times New Roman"/>
          <w:sz w:val="24"/>
        </w:rPr>
        <w:t>libri;</w:t>
      </w:r>
    </w:p>
    <w:p>
      <w:pPr>
        <w:pStyle w:val="ListParagraph"/>
        <w:numPr>
          <w:ilvl w:val="1"/>
          <w:numId w:val="1"/>
        </w:numPr>
        <w:tabs>
          <w:tab w:pos="1181" w:val="left" w:leader="none"/>
        </w:tabs>
        <w:spacing w:line="240" w:lineRule="auto" w:before="0" w:after="0"/>
        <w:ind w:left="1154" w:right="183" w:hanging="286"/>
        <w:jc w:val="left"/>
        <w:rPr>
          <w:rFonts w:ascii="Times New Roman"/>
          <w:sz w:val="24"/>
        </w:rPr>
      </w:pPr>
      <w:r>
        <w:rPr>
          <w:rFonts w:ascii="Times New Roman"/>
          <w:sz w:val="24"/>
        </w:rPr>
        <w:t>titoli di accesso a musei, mostre ed eventi culturali, monumenti, gallerie, aree archeologiche, parchi</w:t>
      </w:r>
      <w:r>
        <w:rPr>
          <w:rFonts w:ascii="Times New Roman"/>
          <w:spacing w:val="-5"/>
          <w:sz w:val="24"/>
        </w:rPr>
        <w:t> </w:t>
      </w:r>
      <w:r>
        <w:rPr>
          <w:rFonts w:ascii="Times New Roman"/>
          <w:sz w:val="24"/>
        </w:rPr>
        <w:t>naturali.</w:t>
      </w:r>
    </w:p>
    <w:p>
      <w:pPr>
        <w:spacing w:after="0" w:line="240" w:lineRule="auto"/>
        <w:jc w:val="left"/>
        <w:rPr>
          <w:rFonts w:ascii="Times New Roman"/>
          <w:sz w:val="24"/>
        </w:rPr>
        <w:sectPr>
          <w:headerReference w:type="default" r:id="rId5"/>
          <w:footerReference w:type="default" r:id="rId6"/>
          <w:type w:val="continuous"/>
          <w:pgSz w:w="11900" w:h="16860"/>
          <w:pgMar w:header="705" w:footer="405" w:top="880" w:bottom="600" w:left="1520" w:right="840"/>
          <w:pgNumType w:start="1"/>
        </w:sectPr>
      </w:pPr>
    </w:p>
    <w:p>
      <w:pPr>
        <w:pStyle w:val="BodyText"/>
        <w:spacing w:before="1"/>
        <w:rPr>
          <w:rFonts w:ascii="Times New Roman"/>
          <w:sz w:val="14"/>
        </w:rPr>
      </w:pPr>
    </w:p>
    <w:p>
      <w:pPr>
        <w:pStyle w:val="BodyText"/>
        <w:spacing w:before="90"/>
        <w:ind w:left="868"/>
        <w:rPr>
          <w:rFonts w:ascii="Times New Roman"/>
        </w:rPr>
      </w:pPr>
      <w:r>
        <w:rPr>
          <w:rFonts w:ascii="Times New Roman"/>
        </w:rPr>
        <w:t>Per i nati nel 1999 (bonus 2017)</w:t>
      </w:r>
    </w:p>
    <w:p>
      <w:pPr>
        <w:pStyle w:val="BodyText"/>
        <w:rPr>
          <w:rFonts w:ascii="Times New Roman"/>
        </w:rPr>
      </w:pPr>
    </w:p>
    <w:p>
      <w:pPr>
        <w:pStyle w:val="ListParagraph"/>
        <w:numPr>
          <w:ilvl w:val="0"/>
          <w:numId w:val="2"/>
        </w:numPr>
        <w:tabs>
          <w:tab w:pos="1174" w:val="left" w:leader="none"/>
        </w:tabs>
        <w:spacing w:line="240" w:lineRule="auto" w:before="0" w:after="0"/>
        <w:ind w:left="1154" w:right="0" w:hanging="286"/>
        <w:jc w:val="left"/>
        <w:rPr>
          <w:rFonts w:ascii="Times New Roman"/>
          <w:sz w:val="24"/>
        </w:rPr>
      </w:pPr>
      <w:r>
        <w:rPr>
          <w:rFonts w:ascii="Times New Roman"/>
          <w:sz w:val="24"/>
        </w:rPr>
        <w:t>biglietti per rappresentazioni teatrali e cinematografiche e spettacoli dal</w:t>
      </w:r>
      <w:r>
        <w:rPr>
          <w:rFonts w:ascii="Times New Roman"/>
          <w:spacing w:val="-15"/>
          <w:sz w:val="24"/>
        </w:rPr>
        <w:t> </w:t>
      </w:r>
      <w:r>
        <w:rPr>
          <w:rFonts w:ascii="Times New Roman"/>
          <w:sz w:val="24"/>
        </w:rPr>
        <w:t>vivo;</w:t>
      </w:r>
    </w:p>
    <w:p>
      <w:pPr>
        <w:pStyle w:val="ListParagraph"/>
        <w:numPr>
          <w:ilvl w:val="0"/>
          <w:numId w:val="2"/>
        </w:numPr>
        <w:tabs>
          <w:tab w:pos="1188" w:val="left" w:leader="none"/>
        </w:tabs>
        <w:spacing w:line="240" w:lineRule="auto" w:before="0" w:after="0"/>
        <w:ind w:left="1187" w:right="0" w:hanging="319"/>
        <w:jc w:val="left"/>
        <w:rPr>
          <w:rFonts w:ascii="Times New Roman"/>
          <w:sz w:val="24"/>
        </w:rPr>
      </w:pPr>
      <w:r>
        <w:rPr>
          <w:rFonts w:ascii="Times New Roman"/>
          <w:sz w:val="24"/>
        </w:rPr>
        <w:t>libri;</w:t>
      </w:r>
    </w:p>
    <w:p>
      <w:pPr>
        <w:pStyle w:val="ListParagraph"/>
        <w:numPr>
          <w:ilvl w:val="0"/>
          <w:numId w:val="2"/>
        </w:numPr>
        <w:tabs>
          <w:tab w:pos="1181" w:val="left" w:leader="none"/>
        </w:tabs>
        <w:spacing w:line="240" w:lineRule="auto" w:before="0" w:after="0"/>
        <w:ind w:left="1154" w:right="182" w:hanging="286"/>
        <w:jc w:val="left"/>
        <w:rPr>
          <w:rFonts w:ascii="Times New Roman"/>
          <w:sz w:val="24"/>
        </w:rPr>
      </w:pPr>
      <w:r>
        <w:rPr>
          <w:rFonts w:ascii="Times New Roman"/>
          <w:sz w:val="24"/>
        </w:rPr>
        <w:t>titoli di accesso a musei, mostre ed eventi culturali, monumenti, gallerie, aree archeologiche, parchi</w:t>
      </w:r>
      <w:r>
        <w:rPr>
          <w:rFonts w:ascii="Times New Roman"/>
          <w:spacing w:val="-4"/>
          <w:sz w:val="24"/>
        </w:rPr>
        <w:t> </w:t>
      </w:r>
      <w:r>
        <w:rPr>
          <w:rFonts w:ascii="Times New Roman"/>
          <w:sz w:val="24"/>
        </w:rPr>
        <w:t>naturali;</w:t>
      </w:r>
    </w:p>
    <w:p>
      <w:pPr>
        <w:pStyle w:val="ListParagraph"/>
        <w:numPr>
          <w:ilvl w:val="0"/>
          <w:numId w:val="2"/>
        </w:numPr>
        <w:tabs>
          <w:tab w:pos="1128" w:val="left" w:leader="none"/>
        </w:tabs>
        <w:spacing w:line="240" w:lineRule="auto" w:before="0" w:after="0"/>
        <w:ind w:left="1127" w:right="0" w:hanging="259"/>
        <w:jc w:val="left"/>
        <w:rPr>
          <w:rFonts w:ascii="Times New Roman"/>
          <w:sz w:val="24"/>
        </w:rPr>
      </w:pPr>
      <w:r>
        <w:rPr>
          <w:rFonts w:ascii="Times New Roman"/>
          <w:sz w:val="24"/>
        </w:rPr>
        <w:t>musica registrata (cd, dvd musicali, dischi in vinile e musica</w:t>
      </w:r>
      <w:r>
        <w:rPr>
          <w:rFonts w:ascii="Times New Roman"/>
          <w:spacing w:val="-13"/>
          <w:sz w:val="24"/>
        </w:rPr>
        <w:t> </w:t>
      </w:r>
      <w:r>
        <w:rPr>
          <w:rFonts w:ascii="Times New Roman"/>
          <w:sz w:val="24"/>
        </w:rPr>
        <w:t>online);</w:t>
      </w:r>
    </w:p>
    <w:p>
      <w:pPr>
        <w:pStyle w:val="ListParagraph"/>
        <w:numPr>
          <w:ilvl w:val="0"/>
          <w:numId w:val="2"/>
        </w:numPr>
        <w:tabs>
          <w:tab w:pos="1114" w:val="left" w:leader="none"/>
        </w:tabs>
        <w:spacing w:line="240" w:lineRule="auto" w:before="0" w:after="0"/>
        <w:ind w:left="1113" w:right="0" w:hanging="245"/>
        <w:jc w:val="left"/>
        <w:rPr>
          <w:rFonts w:ascii="Times New Roman"/>
          <w:sz w:val="24"/>
        </w:rPr>
      </w:pPr>
      <w:r>
        <w:rPr>
          <w:rFonts w:ascii="Times New Roman"/>
          <w:sz w:val="24"/>
        </w:rPr>
        <w:t>corsi di</w:t>
      </w:r>
      <w:r>
        <w:rPr>
          <w:rFonts w:ascii="Times New Roman"/>
          <w:spacing w:val="-5"/>
          <w:sz w:val="24"/>
        </w:rPr>
        <w:t> </w:t>
      </w:r>
      <w:r>
        <w:rPr>
          <w:rFonts w:ascii="Times New Roman"/>
          <w:sz w:val="24"/>
        </w:rPr>
        <w:t>musica;</w:t>
      </w:r>
    </w:p>
    <w:p>
      <w:pPr>
        <w:pStyle w:val="ListParagraph"/>
        <w:numPr>
          <w:ilvl w:val="0"/>
          <w:numId w:val="2"/>
        </w:numPr>
        <w:tabs>
          <w:tab w:pos="1147" w:val="left" w:leader="none"/>
        </w:tabs>
        <w:spacing w:line="240" w:lineRule="auto" w:before="0" w:after="0"/>
        <w:ind w:left="1146" w:right="0" w:hanging="278"/>
        <w:jc w:val="left"/>
        <w:rPr>
          <w:rFonts w:ascii="Times New Roman"/>
          <w:sz w:val="24"/>
        </w:rPr>
      </w:pPr>
      <w:r>
        <w:rPr>
          <w:rFonts w:ascii="Times New Roman"/>
          <w:sz w:val="24"/>
        </w:rPr>
        <w:t>corsi di</w:t>
      </w:r>
      <w:r>
        <w:rPr>
          <w:rFonts w:ascii="Times New Roman"/>
          <w:spacing w:val="-5"/>
          <w:sz w:val="24"/>
        </w:rPr>
        <w:t> </w:t>
      </w:r>
      <w:r>
        <w:rPr>
          <w:rFonts w:ascii="Times New Roman"/>
          <w:sz w:val="24"/>
        </w:rPr>
        <w:t>teatro;</w:t>
      </w:r>
    </w:p>
    <w:p>
      <w:pPr>
        <w:pStyle w:val="ListParagraph"/>
        <w:numPr>
          <w:ilvl w:val="0"/>
          <w:numId w:val="2"/>
        </w:numPr>
        <w:tabs>
          <w:tab w:pos="1128" w:val="left" w:leader="none"/>
        </w:tabs>
        <w:spacing w:line="240" w:lineRule="auto" w:before="0" w:after="0"/>
        <w:ind w:left="1127" w:right="0" w:hanging="259"/>
        <w:jc w:val="left"/>
        <w:rPr>
          <w:rFonts w:ascii="Times New Roman"/>
          <w:sz w:val="24"/>
        </w:rPr>
      </w:pPr>
      <w:r>
        <w:rPr>
          <w:rFonts w:ascii="Times New Roman"/>
          <w:sz w:val="24"/>
        </w:rPr>
        <w:t>corsi di lingua</w:t>
      </w:r>
      <w:r>
        <w:rPr>
          <w:rFonts w:ascii="Times New Roman"/>
          <w:spacing w:val="-7"/>
          <w:sz w:val="24"/>
        </w:rPr>
        <w:t> </w:t>
      </w:r>
      <w:r>
        <w:rPr>
          <w:rFonts w:ascii="Times New Roman"/>
          <w:sz w:val="24"/>
        </w:rPr>
        <w:t>straniera.</w:t>
      </w:r>
    </w:p>
    <w:p>
      <w:pPr>
        <w:pStyle w:val="BodyText"/>
        <w:rPr>
          <w:rFonts w:ascii="Times New Roman"/>
          <w:sz w:val="25"/>
        </w:rPr>
      </w:pPr>
    </w:p>
    <w:p>
      <w:pPr>
        <w:pStyle w:val="BodyText"/>
        <w:spacing w:before="1"/>
        <w:ind w:left="273" w:right="283"/>
        <w:jc w:val="both"/>
      </w:pPr>
      <w:r>
        <w:rPr/>
        <w:t>E’, pertanto, vietato incassare i buoni generati attraverso il servizio da un soggetto diverso rispetto al titolare del buono il cui nome è riportato sullo stesso e/o a fronte della vendita di beni o servizi diversi rispetto a quelli di cui alle lettere da a) a c) che precedono.</w:t>
      </w:r>
    </w:p>
    <w:p>
      <w:pPr>
        <w:pStyle w:val="BodyText"/>
        <w:ind w:left="273" w:right="283"/>
        <w:jc w:val="both"/>
      </w:pPr>
      <w:r>
        <w:rPr/>
        <w:t>L’incasso dei buono e la richiesta di liquidazione del relativo valore, previa fatturazione elettronica al Ministero dei beni e delle attività  culturali  e  del  turismo,  dovrà  avvenire in  conformità alle istruzioni disponibili qui:</w:t>
      </w:r>
      <w:r>
        <w:rPr>
          <w:spacing w:val="-3"/>
        </w:rPr>
        <w:t> </w:t>
      </w:r>
      <w:hyperlink r:id="rId9">
        <w:r>
          <w:rPr>
            <w:color w:val="0000FF"/>
            <w:u w:val="single" w:color="0000FF"/>
          </w:rPr>
          <w:t>www.18app.it</w:t>
        </w:r>
      </w:hyperlink>
    </w:p>
    <w:p>
      <w:pPr>
        <w:pStyle w:val="BodyText"/>
        <w:rPr>
          <w:sz w:val="23"/>
        </w:rPr>
      </w:pPr>
    </w:p>
    <w:p>
      <w:pPr>
        <w:pStyle w:val="BodyText"/>
        <w:spacing w:before="1"/>
        <w:ind w:left="273" w:right="285"/>
        <w:jc w:val="both"/>
      </w:pPr>
      <w:r>
        <w:rPr/>
        <w:t>L’esercente si impegna a non vendere al medesimo soggetto a fronte dell’incasso </w:t>
      </w:r>
      <w:r>
        <w:rPr>
          <w:spacing w:val="-4"/>
        </w:rPr>
        <w:t>di </w:t>
      </w:r>
      <w:r>
        <w:rPr>
          <w:spacing w:val="43"/>
        </w:rPr>
        <w:t> </w:t>
      </w:r>
      <w:r>
        <w:rPr/>
        <w:t>uno o più copie di uno stesso libro o di musica registrata, più biglietti per uno stesso spettacolo e/o più titoli di accesso ad uno stesso museo, mostra, evento culturale, monumento, galleria, area archeologica o parco naturale, corso di musica, teatro e lingua</w:t>
      </w:r>
      <w:r>
        <w:rPr>
          <w:spacing w:val="2"/>
        </w:rPr>
        <w:t> </w:t>
      </w:r>
      <w:r>
        <w:rPr/>
        <w:t>straniera.</w:t>
      </w:r>
    </w:p>
    <w:p>
      <w:pPr>
        <w:pStyle w:val="BodyText"/>
        <w:spacing w:before="66"/>
        <w:ind w:left="273" w:right="281"/>
        <w:jc w:val="both"/>
      </w:pPr>
      <w:r>
        <w:rPr/>
        <w:t>L’incasso dei buono e la richiesta di liquidazione del relativo valore, previa fatturazione elettronica al Ministero dei beni e delle attività  culturali  e  del  turismo,  dovrà  avvenire in  conformità alle istruzioni disponibili qui:</w:t>
      </w:r>
      <w:r>
        <w:rPr>
          <w:spacing w:val="-41"/>
        </w:rPr>
        <w:t> </w:t>
      </w:r>
      <w:hyperlink r:id="rId9">
        <w:r>
          <w:rPr/>
          <w:t>www.18app.it</w:t>
        </w:r>
      </w:hyperlink>
    </w:p>
    <w:p>
      <w:pPr>
        <w:pStyle w:val="BodyText"/>
        <w:spacing w:before="10"/>
        <w:rPr>
          <w:sz w:val="23"/>
        </w:rPr>
      </w:pPr>
    </w:p>
    <w:p>
      <w:pPr>
        <w:pStyle w:val="Heading1"/>
        <w:numPr>
          <w:ilvl w:val="0"/>
          <w:numId w:val="1"/>
        </w:numPr>
        <w:tabs>
          <w:tab w:pos="523" w:val="left" w:leader="none"/>
        </w:tabs>
        <w:spacing w:line="240" w:lineRule="auto" w:before="0" w:after="0"/>
        <w:ind w:left="522" w:right="0" w:hanging="249"/>
        <w:jc w:val="both"/>
      </w:pPr>
      <w:r>
        <w:rPr/>
        <w:t>Vigilanza e</w:t>
      </w:r>
      <w:r>
        <w:rPr>
          <w:spacing w:val="-26"/>
        </w:rPr>
        <w:t> </w:t>
      </w:r>
      <w:r>
        <w:rPr/>
        <w:t>sanzioni</w:t>
      </w:r>
    </w:p>
    <w:p>
      <w:pPr>
        <w:pStyle w:val="BodyText"/>
        <w:spacing w:before="1"/>
        <w:ind w:left="273" w:right="281"/>
        <w:jc w:val="both"/>
      </w:pPr>
      <w:r>
        <w:rPr/>
        <w:t>Il Ministero dei beni e delle attività culturali e del turismo vigila sulla corretta applicazione da parte dell’esercente delle regole che precedono nonché di quelle  dettate nella disciplina vigente e, in caso di eventuali violazioni, provvede  alla esclusione dell’esercente autore della violazione dal progetto, fatte salve le ulteriori sanzioni</w:t>
      </w:r>
      <w:r>
        <w:rPr>
          <w:spacing w:val="-19"/>
        </w:rPr>
        <w:t> </w:t>
      </w:r>
      <w:r>
        <w:rPr/>
        <w:t>previste</w:t>
      </w:r>
      <w:r>
        <w:rPr>
          <w:spacing w:val="-17"/>
        </w:rPr>
        <w:t> </w:t>
      </w:r>
      <w:r>
        <w:rPr/>
        <w:t>dalla</w:t>
      </w:r>
      <w:r>
        <w:rPr>
          <w:spacing w:val="-19"/>
        </w:rPr>
        <w:t> </w:t>
      </w:r>
      <w:r>
        <w:rPr/>
        <w:t>normativa</w:t>
      </w:r>
      <w:r>
        <w:rPr>
          <w:spacing w:val="-19"/>
        </w:rPr>
        <w:t> </w:t>
      </w:r>
      <w:r>
        <w:rPr/>
        <w:t>vigente.</w:t>
      </w:r>
    </w:p>
    <w:p>
      <w:pPr>
        <w:pStyle w:val="BodyText"/>
        <w:spacing w:before="9"/>
        <w:rPr>
          <w:sz w:val="23"/>
        </w:rPr>
      </w:pPr>
    </w:p>
    <w:p>
      <w:pPr>
        <w:pStyle w:val="Heading1"/>
        <w:numPr>
          <w:ilvl w:val="0"/>
          <w:numId w:val="1"/>
        </w:numPr>
        <w:tabs>
          <w:tab w:pos="523" w:val="left" w:leader="none"/>
        </w:tabs>
        <w:spacing w:line="240" w:lineRule="auto" w:before="1" w:after="0"/>
        <w:ind w:left="522" w:right="0" w:hanging="249"/>
        <w:jc w:val="both"/>
      </w:pPr>
      <w:r>
        <w:rPr/>
        <w:t>Responsabilità</w:t>
      </w:r>
      <w:r>
        <w:rPr>
          <w:spacing w:val="-14"/>
        </w:rPr>
        <w:t> </w:t>
      </w:r>
      <w:r>
        <w:rPr/>
        <w:t>del</w:t>
      </w:r>
      <w:r>
        <w:rPr>
          <w:spacing w:val="-14"/>
        </w:rPr>
        <w:t> </w:t>
      </w:r>
      <w:r>
        <w:rPr/>
        <w:t>fornitore</w:t>
      </w:r>
      <w:r>
        <w:rPr>
          <w:spacing w:val="-15"/>
        </w:rPr>
        <w:t> </w:t>
      </w:r>
      <w:r>
        <w:rPr/>
        <w:t>del</w:t>
      </w:r>
      <w:r>
        <w:rPr>
          <w:spacing w:val="-12"/>
        </w:rPr>
        <w:t> </w:t>
      </w:r>
      <w:r>
        <w:rPr/>
        <w:t>servizio</w:t>
      </w:r>
      <w:r>
        <w:rPr>
          <w:spacing w:val="-12"/>
        </w:rPr>
        <w:t> </w:t>
      </w:r>
      <w:r>
        <w:rPr/>
        <w:t>e</w:t>
      </w:r>
      <w:r>
        <w:rPr>
          <w:spacing w:val="-12"/>
        </w:rPr>
        <w:t> </w:t>
      </w:r>
      <w:r>
        <w:rPr/>
        <w:t>dei</w:t>
      </w:r>
      <w:r>
        <w:rPr>
          <w:spacing w:val="-17"/>
        </w:rPr>
        <w:t> </w:t>
      </w:r>
      <w:r>
        <w:rPr/>
        <w:t>fornitori</w:t>
      </w:r>
      <w:r>
        <w:rPr>
          <w:spacing w:val="-16"/>
        </w:rPr>
        <w:t> </w:t>
      </w:r>
      <w:r>
        <w:rPr/>
        <w:t>dell’identità</w:t>
      </w:r>
      <w:r>
        <w:rPr>
          <w:spacing w:val="-13"/>
        </w:rPr>
        <w:t> </w:t>
      </w:r>
      <w:r>
        <w:rPr/>
        <w:t>digitale</w:t>
      </w:r>
    </w:p>
    <w:p>
      <w:pPr>
        <w:pStyle w:val="BodyText"/>
        <w:spacing w:before="2"/>
        <w:ind w:left="273" w:right="282"/>
        <w:jc w:val="both"/>
      </w:pPr>
      <w:r>
        <w:rPr/>
        <w:t>Il fornitore del servizio compirà ogni ragionevole sforzo per garantire il buon funzionamento dello stesso in maniera ininterrotta.La SOGEI (Società Generale d’ Informatica) garantisce il valore soglia del 98% per l’operatività dell’applicazione “18app” attiva 7 giorni alla settimana  h24.</w:t>
      </w:r>
    </w:p>
    <w:p>
      <w:pPr>
        <w:pStyle w:val="BodyText"/>
        <w:ind w:left="273" w:right="286"/>
        <w:jc w:val="both"/>
      </w:pPr>
      <w:r>
        <w:rPr/>
        <w:t>I fornitori di Identità SPID garantiscono i livelli di servizio come riportato sui manuali operativi approvati da AgID (Agenzia per l’Italia Digitale):</w:t>
      </w:r>
    </w:p>
    <w:p>
      <w:pPr>
        <w:pStyle w:val="BodyText"/>
        <w:spacing w:before="11"/>
        <w:rPr>
          <w:sz w:val="26"/>
        </w:rPr>
      </w:pPr>
    </w:p>
    <w:p>
      <w:pPr>
        <w:pStyle w:val="ListParagraph"/>
        <w:numPr>
          <w:ilvl w:val="0"/>
          <w:numId w:val="3"/>
        </w:numPr>
        <w:tabs>
          <w:tab w:pos="1600" w:val="left" w:leader="none"/>
          <w:tab w:pos="1601" w:val="left" w:leader="none"/>
        </w:tabs>
        <w:spacing w:line="232" w:lineRule="auto" w:before="0" w:after="0"/>
        <w:ind w:left="1240" w:right="1321" w:firstLine="0"/>
        <w:jc w:val="left"/>
        <w:rPr>
          <w:sz w:val="24"/>
        </w:rPr>
      </w:pPr>
      <w:r>
        <w:rPr>
          <w:sz w:val="24"/>
        </w:rPr>
        <w:t>Aruba PEC S.p.A. - Aruba ID (pagina 48)</w:t>
      </w:r>
      <w:r>
        <w:rPr>
          <w:color w:val="0000FF"/>
          <w:sz w:val="24"/>
        </w:rPr>
        <w:t> </w:t>
      </w:r>
      <w:hyperlink r:id="rId10">
        <w:r>
          <w:rPr>
            <w:color w:val="0000FF"/>
            <w:spacing w:val="-2"/>
            <w:sz w:val="24"/>
            <w:u w:val="single" w:color="0000FF"/>
          </w:rPr>
          <w:t>http://www.agid.gov.it/sites/default/files/manuale_operativo_3.pdf</w:t>
        </w:r>
      </w:hyperlink>
    </w:p>
    <w:p>
      <w:pPr>
        <w:pStyle w:val="BodyText"/>
        <w:spacing w:before="4"/>
        <w:rPr>
          <w:sz w:val="17"/>
        </w:rPr>
      </w:pPr>
    </w:p>
    <w:p>
      <w:pPr>
        <w:pStyle w:val="ListParagraph"/>
        <w:numPr>
          <w:ilvl w:val="0"/>
          <w:numId w:val="4"/>
        </w:numPr>
        <w:tabs>
          <w:tab w:pos="1600" w:val="left" w:leader="none"/>
          <w:tab w:pos="1601" w:val="left" w:leader="none"/>
        </w:tabs>
        <w:spacing w:line="249" w:lineRule="auto" w:before="100" w:after="0"/>
        <w:ind w:left="1240" w:right="800" w:firstLine="0"/>
        <w:jc w:val="left"/>
        <w:rPr>
          <w:sz w:val="24"/>
        </w:rPr>
      </w:pPr>
      <w:r>
        <w:rPr>
          <w:sz w:val="24"/>
        </w:rPr>
        <w:t>Infocert S.p.A. - Infocert ID (pagina 38)</w:t>
      </w:r>
      <w:r>
        <w:rPr>
          <w:color w:val="0000FF"/>
          <w:sz w:val="24"/>
        </w:rPr>
        <w:t> </w:t>
      </w:r>
      <w:hyperlink r:id="rId11">
        <w:r>
          <w:rPr>
            <w:color w:val="0000FF"/>
            <w:spacing w:val="-2"/>
            <w:sz w:val="24"/>
            <w:u w:val="single" w:color="0000FF"/>
          </w:rPr>
          <w:t>http://www.agid.gov.it/sites/default/files/manuale_operativo_spid_0.pdf</w:t>
        </w:r>
      </w:hyperlink>
    </w:p>
    <w:p>
      <w:pPr>
        <w:pStyle w:val="BodyText"/>
        <w:spacing w:before="2"/>
        <w:rPr>
          <w:sz w:val="16"/>
        </w:rPr>
      </w:pPr>
    </w:p>
    <w:p>
      <w:pPr>
        <w:pStyle w:val="ListParagraph"/>
        <w:numPr>
          <w:ilvl w:val="0"/>
          <w:numId w:val="4"/>
        </w:numPr>
        <w:tabs>
          <w:tab w:pos="1600" w:val="left" w:leader="none"/>
          <w:tab w:pos="1601" w:val="left" w:leader="none"/>
        </w:tabs>
        <w:spacing w:line="249" w:lineRule="auto" w:before="100" w:after="0"/>
        <w:ind w:left="1240" w:right="1539" w:firstLine="0"/>
        <w:jc w:val="left"/>
        <w:rPr>
          <w:sz w:val="24"/>
        </w:rPr>
      </w:pPr>
      <w:r>
        <w:rPr>
          <w:sz w:val="24"/>
        </w:rPr>
        <w:t>Poste Italiane S.p.A. - Poste ID (pagina 54)</w:t>
      </w:r>
      <w:r>
        <w:rPr>
          <w:color w:val="0000FF"/>
          <w:sz w:val="24"/>
        </w:rPr>
        <w:t> </w:t>
      </w:r>
      <w:hyperlink r:id="rId12">
        <w:r>
          <w:rPr>
            <w:color w:val="0000FF"/>
            <w:spacing w:val="-2"/>
            <w:sz w:val="24"/>
            <w:u w:val="single" w:color="0000FF"/>
          </w:rPr>
          <w:t>http://www.agid.gov.it/sites/default/files/manuale_operativo.pdf</w:t>
        </w:r>
      </w:hyperlink>
    </w:p>
    <w:p>
      <w:pPr>
        <w:spacing w:after="0" w:line="249" w:lineRule="auto"/>
        <w:jc w:val="left"/>
        <w:rPr>
          <w:sz w:val="24"/>
        </w:rPr>
        <w:sectPr>
          <w:pgSz w:w="11900" w:h="16860"/>
          <w:pgMar w:header="705" w:footer="405" w:top="900" w:bottom="600" w:left="1520" w:right="840"/>
        </w:sectPr>
      </w:pPr>
    </w:p>
    <w:p>
      <w:pPr>
        <w:pStyle w:val="ListParagraph"/>
        <w:numPr>
          <w:ilvl w:val="0"/>
          <w:numId w:val="3"/>
        </w:numPr>
        <w:tabs>
          <w:tab w:pos="1600" w:val="left" w:leader="none"/>
          <w:tab w:pos="1601" w:val="left" w:leader="none"/>
        </w:tabs>
        <w:spacing w:line="235" w:lineRule="auto" w:before="19" w:after="0"/>
        <w:ind w:left="1240" w:right="1319" w:firstLine="0"/>
        <w:jc w:val="left"/>
        <w:rPr>
          <w:sz w:val="24"/>
        </w:rPr>
      </w:pPr>
      <w:r>
        <w:rPr>
          <w:sz w:val="24"/>
        </w:rPr>
        <w:t>Register.it S.p.A. - SpidItalia (pagina 32)</w:t>
      </w:r>
      <w:r>
        <w:rPr>
          <w:color w:val="0000FF"/>
          <w:sz w:val="24"/>
        </w:rPr>
        <w:t> </w:t>
      </w:r>
      <w:hyperlink r:id="rId13">
        <w:r>
          <w:rPr>
            <w:color w:val="0000FF"/>
            <w:spacing w:val="-2"/>
            <w:sz w:val="24"/>
            <w:u w:val="single" w:color="0000FF"/>
          </w:rPr>
          <w:t>http://www.agid.gov.it/sites/default/files/manuale_operativo_1.pdf</w:t>
        </w:r>
      </w:hyperlink>
    </w:p>
    <w:p>
      <w:pPr>
        <w:pStyle w:val="BodyText"/>
        <w:spacing w:before="3"/>
        <w:rPr>
          <w:sz w:val="17"/>
        </w:rPr>
      </w:pPr>
    </w:p>
    <w:p>
      <w:pPr>
        <w:pStyle w:val="ListParagraph"/>
        <w:numPr>
          <w:ilvl w:val="0"/>
          <w:numId w:val="3"/>
        </w:numPr>
        <w:tabs>
          <w:tab w:pos="1600" w:val="left" w:leader="none"/>
          <w:tab w:pos="1601" w:val="left" w:leader="none"/>
        </w:tabs>
        <w:spacing w:line="235" w:lineRule="auto" w:before="120" w:after="0"/>
        <w:ind w:left="1240" w:right="1627" w:firstLine="0"/>
        <w:jc w:val="left"/>
        <w:rPr>
          <w:sz w:val="24"/>
        </w:rPr>
      </w:pPr>
      <w:r>
        <w:rPr>
          <w:sz w:val="24"/>
        </w:rPr>
        <w:t>Sielte S.p.A. - Sielte ID (pagina 27)</w:t>
      </w:r>
      <w:r>
        <w:rPr>
          <w:color w:val="0000FF"/>
          <w:sz w:val="24"/>
        </w:rPr>
        <w:t> </w:t>
      </w:r>
      <w:hyperlink r:id="rId14">
        <w:r>
          <w:rPr>
            <w:color w:val="0000FF"/>
            <w:spacing w:val="-2"/>
            <w:sz w:val="24"/>
            <w:u w:val="single" w:color="0000FF"/>
          </w:rPr>
          <w:t>http://www.agid.gov.it/sites/default/files/manualeoperativo.pdf</w:t>
        </w:r>
      </w:hyperlink>
    </w:p>
    <w:p>
      <w:pPr>
        <w:pStyle w:val="BodyText"/>
        <w:spacing w:before="3"/>
        <w:rPr>
          <w:sz w:val="17"/>
        </w:rPr>
      </w:pPr>
    </w:p>
    <w:p>
      <w:pPr>
        <w:pStyle w:val="ListParagraph"/>
        <w:numPr>
          <w:ilvl w:val="0"/>
          <w:numId w:val="3"/>
        </w:numPr>
        <w:tabs>
          <w:tab w:pos="1600" w:val="left" w:leader="none"/>
          <w:tab w:pos="1601" w:val="left" w:leader="none"/>
        </w:tabs>
        <w:spacing w:line="235" w:lineRule="auto" w:before="120" w:after="0"/>
        <w:ind w:left="1240" w:right="969" w:firstLine="0"/>
        <w:jc w:val="left"/>
        <w:rPr>
          <w:sz w:val="24"/>
        </w:rPr>
      </w:pPr>
      <w:r>
        <w:rPr>
          <w:sz w:val="24"/>
        </w:rPr>
        <w:t>TI Trust Technologies S.r.l. - TIM ID (pagina 15)</w:t>
      </w:r>
      <w:r>
        <w:rPr>
          <w:color w:val="0000FF"/>
          <w:sz w:val="24"/>
        </w:rPr>
        <w:t> </w:t>
      </w:r>
      <w:hyperlink r:id="rId15">
        <w:r>
          <w:rPr>
            <w:color w:val="0000FF"/>
            <w:spacing w:val="-2"/>
            <w:sz w:val="24"/>
            <w:u w:val="single" w:color="0000FF"/>
          </w:rPr>
          <w:t>http://www.agid.gov.it/sites/default/files/spidprin.tt_.somo15000.03_-</w:t>
        </w:r>
      </w:hyperlink>
    </w:p>
    <w:p>
      <w:pPr>
        <w:pStyle w:val="BodyText"/>
        <w:spacing w:before="2"/>
        <w:ind w:left="1240"/>
      </w:pPr>
      <w:hyperlink r:id="rId15">
        <w:r>
          <w:rPr>
            <w:color w:val="0000FF"/>
            <w:u w:val="single" w:color="0000FF"/>
          </w:rPr>
          <w:t>_manuale_operativo_del_servizio_tim_id.pdf</w:t>
        </w:r>
      </w:hyperlink>
    </w:p>
    <w:p>
      <w:pPr>
        <w:pStyle w:val="BodyText"/>
        <w:spacing w:before="8"/>
        <w:rPr>
          <w:sz w:val="23"/>
        </w:rPr>
      </w:pPr>
    </w:p>
    <w:p>
      <w:pPr>
        <w:pStyle w:val="Heading1"/>
        <w:numPr>
          <w:ilvl w:val="0"/>
          <w:numId w:val="1"/>
        </w:numPr>
        <w:tabs>
          <w:tab w:pos="523" w:val="left" w:leader="none"/>
        </w:tabs>
        <w:spacing w:line="281" w:lineRule="exact" w:before="0" w:after="0"/>
        <w:ind w:left="522" w:right="0" w:hanging="249"/>
        <w:jc w:val="left"/>
      </w:pPr>
      <w:r>
        <w:rPr/>
        <w:t>Privacy</w:t>
      </w:r>
    </w:p>
    <w:p>
      <w:pPr>
        <w:pStyle w:val="BodyText"/>
        <w:spacing w:line="281" w:lineRule="exact"/>
        <w:ind w:left="273"/>
      </w:pPr>
      <w:r>
        <w:rPr/>
        <w:t>Il titolare del trattamento è il Ministero dei beni e delle attività culturali e del turismo.</w:t>
      </w:r>
    </w:p>
    <w:p>
      <w:pPr>
        <w:pStyle w:val="BodyText"/>
        <w:tabs>
          <w:tab w:pos="3540" w:val="left" w:leader="none"/>
          <w:tab w:pos="5791" w:val="left" w:leader="none"/>
          <w:tab w:pos="8804" w:val="left" w:leader="none"/>
        </w:tabs>
        <w:spacing w:before="4"/>
        <w:ind w:left="273" w:right="281"/>
        <w:jc w:val="both"/>
      </w:pPr>
      <w:r>
        <w:rPr/>
        <w:t>I dati personali dell’esercente saranno trattati esclusivamente per consentirgli </w:t>
      </w:r>
      <w:r>
        <w:rPr>
          <w:spacing w:val="-4"/>
        </w:rPr>
        <w:t>di </w:t>
      </w:r>
      <w:r>
        <w:rPr/>
        <w:t>accedere ed utilizzare il servizio in conformità a quanto riportato nell’apposita informativa</w:t>
        <w:tab/>
        <w:t>al</w:t>
        <w:tab/>
        <w:t>seguente</w:t>
        <w:tab/>
      </w:r>
      <w:r>
        <w:rPr>
          <w:spacing w:val="-1"/>
        </w:rPr>
        <w:t>link:</w:t>
      </w:r>
      <w:r>
        <w:rPr>
          <w:color w:val="0000FF"/>
          <w:spacing w:val="-1"/>
        </w:rPr>
        <w:t> </w:t>
      </w:r>
      <w:hyperlink r:id="rId16">
        <w:r>
          <w:rPr>
            <w:color w:val="0000FF"/>
            <w:u w:val="single" w:color="0000FF"/>
          </w:rPr>
          <w:t>https://www.18app.italia.it/static/18app%20infoprivacy_completa.pdf</w:t>
        </w:r>
      </w:hyperlink>
    </w:p>
    <w:p>
      <w:pPr>
        <w:pStyle w:val="BodyText"/>
        <w:spacing w:before="10"/>
        <w:rPr>
          <w:sz w:val="23"/>
        </w:rPr>
      </w:pPr>
    </w:p>
    <w:p>
      <w:pPr>
        <w:pStyle w:val="Heading1"/>
        <w:numPr>
          <w:ilvl w:val="0"/>
          <w:numId w:val="1"/>
        </w:numPr>
        <w:tabs>
          <w:tab w:pos="523" w:val="left" w:leader="none"/>
        </w:tabs>
        <w:spacing w:line="240" w:lineRule="auto" w:before="0" w:after="0"/>
        <w:ind w:left="522" w:right="0" w:hanging="249"/>
        <w:jc w:val="left"/>
      </w:pPr>
      <w:r>
        <w:rPr>
          <w:spacing w:val="-1"/>
        </w:rPr>
        <w:t>Disciplina</w:t>
      </w:r>
      <w:r>
        <w:rPr>
          <w:spacing w:val="-32"/>
        </w:rPr>
        <w:t> </w:t>
      </w:r>
      <w:r>
        <w:rPr/>
        <w:t>applicabile</w:t>
      </w:r>
    </w:p>
    <w:p>
      <w:pPr>
        <w:pStyle w:val="BodyText"/>
        <w:spacing w:before="3"/>
        <w:ind w:left="273" w:right="330"/>
      </w:pPr>
      <w:r>
        <w:rPr/>
        <w:t>Per</w:t>
      </w:r>
      <w:r>
        <w:rPr>
          <w:spacing w:val="-16"/>
        </w:rPr>
        <w:t> </w:t>
      </w:r>
      <w:r>
        <w:rPr/>
        <w:t>tutto</w:t>
      </w:r>
      <w:r>
        <w:rPr>
          <w:spacing w:val="-14"/>
        </w:rPr>
        <w:t> </w:t>
      </w:r>
      <w:r>
        <w:rPr/>
        <w:t>quanto</w:t>
      </w:r>
      <w:r>
        <w:rPr>
          <w:spacing w:val="-15"/>
        </w:rPr>
        <w:t> </w:t>
      </w:r>
      <w:r>
        <w:rPr/>
        <w:t>non</w:t>
      </w:r>
      <w:r>
        <w:rPr>
          <w:spacing w:val="-12"/>
        </w:rPr>
        <w:t> </w:t>
      </w:r>
      <w:r>
        <w:rPr/>
        <w:t>espressamente</w:t>
      </w:r>
      <w:r>
        <w:rPr>
          <w:spacing w:val="-13"/>
        </w:rPr>
        <w:t> </w:t>
      </w:r>
      <w:r>
        <w:rPr/>
        <w:t>previsto</w:t>
      </w:r>
      <w:r>
        <w:rPr>
          <w:spacing w:val="-13"/>
        </w:rPr>
        <w:t> </w:t>
      </w:r>
      <w:r>
        <w:rPr/>
        <w:t>nelle</w:t>
      </w:r>
      <w:r>
        <w:rPr>
          <w:spacing w:val="-11"/>
        </w:rPr>
        <w:t> </w:t>
      </w:r>
      <w:r>
        <w:rPr/>
        <w:t>presenti</w:t>
      </w:r>
      <w:r>
        <w:rPr>
          <w:spacing w:val="-13"/>
        </w:rPr>
        <w:t> </w:t>
      </w:r>
      <w:r>
        <w:rPr/>
        <w:t>condizioni,</w:t>
      </w:r>
      <w:r>
        <w:rPr>
          <w:spacing w:val="-15"/>
        </w:rPr>
        <w:t> </w:t>
      </w:r>
      <w:r>
        <w:rPr/>
        <w:t>sarà</w:t>
      </w:r>
      <w:r>
        <w:rPr>
          <w:spacing w:val="-14"/>
        </w:rPr>
        <w:t> </w:t>
      </w:r>
      <w:r>
        <w:rPr/>
        <w:t>applicabile la</w:t>
      </w:r>
      <w:r>
        <w:rPr>
          <w:spacing w:val="16"/>
        </w:rPr>
        <w:t> </w:t>
      </w:r>
      <w:r>
        <w:rPr/>
        <w:t>disciplina</w:t>
      </w:r>
      <w:r>
        <w:rPr>
          <w:spacing w:val="-8"/>
        </w:rPr>
        <w:t> </w:t>
      </w:r>
      <w:r>
        <w:rPr/>
        <w:t>di</w:t>
      </w:r>
      <w:r>
        <w:rPr>
          <w:spacing w:val="-7"/>
        </w:rPr>
        <w:t> </w:t>
      </w:r>
      <w:r>
        <w:rPr/>
        <w:t>cui</w:t>
      </w:r>
      <w:r>
        <w:rPr>
          <w:spacing w:val="-7"/>
        </w:rPr>
        <w:t> </w:t>
      </w:r>
      <w:r>
        <w:rPr/>
        <w:t>ai</w:t>
      </w:r>
      <w:r>
        <w:rPr>
          <w:spacing w:val="-7"/>
        </w:rPr>
        <w:t> </w:t>
      </w:r>
      <w:r>
        <w:rPr/>
        <w:t>commi</w:t>
      </w:r>
      <w:r>
        <w:rPr>
          <w:spacing w:val="-7"/>
        </w:rPr>
        <w:t> </w:t>
      </w:r>
      <w:r>
        <w:rPr/>
        <w:t>979</w:t>
      </w:r>
      <w:r>
        <w:rPr>
          <w:spacing w:val="-8"/>
        </w:rPr>
        <w:t> </w:t>
      </w:r>
      <w:r>
        <w:rPr/>
        <w:t>e</w:t>
      </w:r>
      <w:r>
        <w:rPr>
          <w:spacing w:val="-7"/>
        </w:rPr>
        <w:t> </w:t>
      </w:r>
      <w:r>
        <w:rPr/>
        <w:t>980</w:t>
      </w:r>
      <w:r>
        <w:rPr>
          <w:spacing w:val="-6"/>
        </w:rPr>
        <w:t> </w:t>
      </w:r>
      <w:r>
        <w:rPr/>
        <w:t>dell’art.</w:t>
      </w:r>
      <w:r>
        <w:rPr>
          <w:spacing w:val="-8"/>
        </w:rPr>
        <w:t> </w:t>
      </w:r>
      <w:r>
        <w:rPr/>
        <w:t>1</w:t>
      </w:r>
      <w:r>
        <w:rPr>
          <w:spacing w:val="-6"/>
        </w:rPr>
        <w:t> </w:t>
      </w:r>
      <w:r>
        <w:rPr/>
        <w:t>della</w:t>
      </w:r>
      <w:r>
        <w:rPr>
          <w:spacing w:val="-8"/>
        </w:rPr>
        <w:t> </w:t>
      </w:r>
      <w:r>
        <w:rPr/>
        <w:t>Legge</w:t>
      </w:r>
      <w:r>
        <w:rPr>
          <w:spacing w:val="-5"/>
        </w:rPr>
        <w:t> </w:t>
      </w:r>
      <w:r>
        <w:rPr/>
        <w:t>28</w:t>
      </w:r>
      <w:r>
        <w:rPr>
          <w:spacing w:val="-7"/>
        </w:rPr>
        <w:t> </w:t>
      </w:r>
      <w:r>
        <w:rPr/>
        <w:t>dicembre</w:t>
      </w:r>
      <w:r>
        <w:rPr>
          <w:spacing w:val="-7"/>
        </w:rPr>
        <w:t> </w:t>
      </w:r>
      <w:r>
        <w:rPr/>
        <w:t>2015,</w:t>
      </w:r>
      <w:r>
        <w:rPr>
          <w:spacing w:val="-7"/>
        </w:rPr>
        <w:t> </w:t>
      </w:r>
      <w:r>
        <w:rPr/>
        <w:t>n.</w:t>
      </w:r>
      <w:r>
        <w:rPr>
          <w:spacing w:val="-5"/>
        </w:rPr>
        <w:t> </w:t>
      </w:r>
      <w:r>
        <w:rPr/>
        <w:t>208, Disposizioni per la formazione del bilancio annuale e pluriennale dello Stato (legge </w:t>
      </w:r>
      <w:r>
        <w:rPr>
          <w:spacing w:val="-4"/>
        </w:rPr>
        <w:t>di </w:t>
      </w:r>
      <w:r>
        <w:rPr/>
        <w:t>stabilità  2016) e al comma 626 dell’articolo 1 della Legge 11 dicembre 2016, n.</w:t>
      </w:r>
      <w:r>
        <w:rPr>
          <w:spacing w:val="-10"/>
        </w:rPr>
        <w:t> </w:t>
      </w:r>
      <w:r>
        <w:rPr/>
        <w:t>232</w:t>
      </w:r>
    </w:p>
    <w:p>
      <w:pPr>
        <w:pStyle w:val="BodyText"/>
        <w:ind w:left="273" w:right="406"/>
      </w:pPr>
      <w:r>
        <w:rPr/>
        <w:t>recante «Bilancio di previsione dello Stato per l’anno finanziario 2017 e bilancio pluriennale per il triennio 2017-2019» (legge di stabilità 2017) nonché dal relativo Decreto del Presidente del Consiglio dei Ministri disponibile al seguente collegamento: </w:t>
      </w:r>
      <w:hyperlink r:id="rId7">
        <w:r>
          <w:rPr>
            <w:color w:val="0000FF"/>
            <w:u w:val="single" w:color="0000FF"/>
          </w:rPr>
          <w:t>http://www.gazzettaufficiale.it/atto/serie_generale/caricaDettaglioAtto/originario?at</w:t>
        </w:r>
      </w:hyperlink>
      <w:r>
        <w:rPr>
          <w:color w:val="0000FF"/>
        </w:rPr>
        <w:t> </w:t>
      </w:r>
      <w:hyperlink r:id="rId7">
        <w:r>
          <w:rPr>
            <w:color w:val="0000FF"/>
            <w:u w:val="single" w:color="0000FF"/>
          </w:rPr>
          <w:t>to.dataPubblicazioneGazzetta=2017-09-</w:t>
        </w:r>
      </w:hyperlink>
      <w:r>
        <w:rPr>
          <w:color w:val="0000FF"/>
        </w:rPr>
        <w:t> </w:t>
      </w:r>
      <w:hyperlink r:id="rId7">
        <w:r>
          <w:rPr>
            <w:color w:val="0000FF"/>
            <w:u w:val="single" w:color="0000FF"/>
          </w:rPr>
          <w:t>18&amp;atto.codiceRedazionale=17G00146&amp;elenco30giorni=false</w:t>
        </w:r>
      </w:hyperlink>
    </w:p>
    <w:sectPr>
      <w:pgSz w:w="11900" w:h="16860"/>
      <w:pgMar w:header="705" w:footer="405" w:top="880" w:bottom="600" w:left="15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Symbol">
    <w:altName w:val="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408" from="82.584pt,813.33606pt" to="545.524pt,813.33606pt" stroked="true" strokeweight=".71997pt" strokecolor="#612322">
          <v:stroke dashstyle="solid"/>
          <w10:wrap type="none"/>
        </v:line>
      </w:pict>
    </w:r>
    <w:r>
      <w:rPr/>
      <w:pict>
        <v:line style="position:absolute;mso-position-horizontal-relative:page;mso-position-vertical-relative:page;z-index:-4384" from="82.584pt,810.756042pt" to="545.524pt,810.756042pt" stroked="true" strokeweight="3.0pt" strokecolor="#612322">
          <v:stroke dashstyle="solid"/>
          <w10:wrap type="none"/>
        </v:line>
      </w:pict>
    </w:r>
    <w:r>
      <w:rPr/>
      <w:pict>
        <v:shape style="position:absolute;margin-left:83.024002pt;margin-top:813.797668pt;width:99.5pt;height:16.1pt;mso-position-horizontal-relative:page;mso-position-vertical-relative:page;z-index:-4360" type="#_x0000_t202" filled="false" stroked="false">
          <v:textbox inset="0,0,0,0">
            <w:txbxContent>
              <w:p>
                <w:pPr>
                  <w:pStyle w:val="BodyText"/>
                  <w:spacing w:before="20"/>
                  <w:ind w:left="20"/>
                </w:pPr>
                <w:r>
                  <w:rPr/>
                  <w:t>18 settembre 2017</w:t>
                </w:r>
              </w:p>
            </w:txbxContent>
          </v:textbox>
          <w10:wrap type="none"/>
        </v:shape>
      </w:pict>
    </w:r>
    <w:r>
      <w:rPr/>
      <w:pict>
        <v:shape style="position:absolute;margin-left:512.700012pt;margin-top:813.797668pt;width:33.450pt;height:16.1pt;mso-position-horizontal-relative:page;mso-position-vertical-relative:page;z-index:-4336" type="#_x0000_t202" filled="false" stroked="false">
          <v:textbox inset="0,0,0,0">
            <w:txbxContent>
              <w:p>
                <w:pPr>
                  <w:pStyle w:val="BodyText"/>
                  <w:spacing w:before="20"/>
                  <w:ind w:left="20"/>
                </w:pPr>
                <w:r>
                  <w:rPr/>
                  <w:t>Pag. </w:t>
                </w:r>
                <w:r>
                  <w:rPr/>
                  <w:fldChar w:fldCharType="begin"/>
                </w:r>
                <w:r>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352.230011pt;margin-top:34.24826pt;width:184.85pt;height:12.6pt;mso-position-horizontal-relative:page;mso-position-vertical-relative:page;z-index:-4432" type="#_x0000_t202" filled="false" stroked="false">
          <v:textbox inset="0,0,0,0">
            <w:txbxContent>
              <w:p>
                <w:pPr>
                  <w:spacing w:before="20"/>
                  <w:ind w:left="20" w:right="0" w:firstLine="0"/>
                  <w:jc w:val="left"/>
                  <w:rPr>
                    <w:i/>
                    <w:sz w:val="18"/>
                  </w:rPr>
                </w:pPr>
                <w:r>
                  <w:rPr>
                    <w:i/>
                    <w:color w:val="4F81BB"/>
                    <w:sz w:val="18"/>
                  </w:rPr>
                  <w:t>18app</w:t>
                </w:r>
                <w:r>
                  <w:rPr>
                    <w:i/>
                    <w:color w:val="4F81BB"/>
                    <w:spacing w:val="-10"/>
                    <w:sz w:val="18"/>
                  </w:rPr>
                  <w:t> </w:t>
                </w:r>
                <w:r>
                  <w:rPr>
                    <w:i/>
                    <w:color w:val="4F81BB"/>
                    <w:sz w:val="18"/>
                  </w:rPr>
                  <w:t>-</w:t>
                </w:r>
                <w:r>
                  <w:rPr>
                    <w:i/>
                    <w:color w:val="4F81BB"/>
                    <w:spacing w:val="-9"/>
                    <w:sz w:val="18"/>
                  </w:rPr>
                  <w:t> </w:t>
                </w:r>
                <w:r>
                  <w:rPr>
                    <w:i/>
                    <w:color w:val="4F81BB"/>
                    <w:sz w:val="18"/>
                  </w:rPr>
                  <w:t>condizioni</w:t>
                </w:r>
                <w:r>
                  <w:rPr>
                    <w:i/>
                    <w:color w:val="4F81BB"/>
                    <w:spacing w:val="-12"/>
                    <w:sz w:val="18"/>
                  </w:rPr>
                  <w:t> </w:t>
                </w:r>
                <w:r>
                  <w:rPr>
                    <w:i/>
                    <w:color w:val="4F81BB"/>
                    <w:sz w:val="18"/>
                  </w:rPr>
                  <w:t>d’uso</w:t>
                </w:r>
                <w:r>
                  <w:rPr>
                    <w:i/>
                    <w:color w:val="4F81BB"/>
                    <w:spacing w:val="-8"/>
                    <w:sz w:val="18"/>
                  </w:rPr>
                  <w:t> </w:t>
                </w:r>
                <w:r>
                  <w:rPr>
                    <w:i/>
                    <w:color w:val="4F81BB"/>
                    <w:sz w:val="18"/>
                  </w:rPr>
                  <w:t>del</w:t>
                </w:r>
                <w:r>
                  <w:rPr>
                    <w:i/>
                    <w:color w:val="4F81BB"/>
                    <w:spacing w:val="-11"/>
                    <w:sz w:val="18"/>
                  </w:rPr>
                  <w:t> </w:t>
                </w:r>
                <w:r>
                  <w:rPr>
                    <w:i/>
                    <w:color w:val="4F81BB"/>
                    <w:sz w:val="18"/>
                  </w:rPr>
                  <w:t>servizio</w:t>
                </w:r>
                <w:r>
                  <w:rPr>
                    <w:i/>
                    <w:color w:val="4F81BB"/>
                    <w:spacing w:val="-12"/>
                    <w:sz w:val="18"/>
                  </w:rPr>
                  <w:t> </w:t>
                </w:r>
                <w:r>
                  <w:rPr>
                    <w:i/>
                    <w:color w:val="4F81BB"/>
                    <w:sz w:val="18"/>
                  </w:rPr>
                  <w:t>per</w:t>
                </w:r>
                <w:r>
                  <w:rPr>
                    <w:i/>
                    <w:color w:val="4F81BB"/>
                    <w:spacing w:val="-8"/>
                    <w:sz w:val="18"/>
                  </w:rPr>
                  <w:t> </w:t>
                </w:r>
                <w:r>
                  <w:rPr>
                    <w:i/>
                    <w:color w:val="4F81BB"/>
                    <w:sz w:val="18"/>
                  </w:rPr>
                  <w:t>esercenti</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40" w:hanging="360"/>
      </w:pPr>
      <w:rPr>
        <w:rFonts w:hint="default" w:ascii="Symbol" w:hAnsi="Symbol" w:eastAsia="Symbol" w:cs="Symbol"/>
        <w:w w:val="76"/>
        <w:sz w:val="24"/>
        <w:szCs w:val="24"/>
      </w:rPr>
    </w:lvl>
    <w:lvl w:ilvl="1">
      <w:start w:val="0"/>
      <w:numFmt w:val="bullet"/>
      <w:lvlText w:val="•"/>
      <w:lvlJc w:val="left"/>
      <w:pPr>
        <w:ind w:left="2069" w:hanging="360"/>
      </w:pPr>
      <w:rPr>
        <w:rFonts w:hint="default"/>
      </w:rPr>
    </w:lvl>
    <w:lvl w:ilvl="2">
      <w:start w:val="0"/>
      <w:numFmt w:val="bullet"/>
      <w:lvlText w:val="•"/>
      <w:lvlJc w:val="left"/>
      <w:pPr>
        <w:ind w:left="2899" w:hanging="360"/>
      </w:pPr>
      <w:rPr>
        <w:rFonts w:hint="default"/>
      </w:rPr>
    </w:lvl>
    <w:lvl w:ilvl="3">
      <w:start w:val="0"/>
      <w:numFmt w:val="bullet"/>
      <w:lvlText w:val="•"/>
      <w:lvlJc w:val="left"/>
      <w:pPr>
        <w:ind w:left="3729" w:hanging="360"/>
      </w:pPr>
      <w:rPr>
        <w:rFonts w:hint="default"/>
      </w:rPr>
    </w:lvl>
    <w:lvl w:ilvl="4">
      <w:start w:val="0"/>
      <w:numFmt w:val="bullet"/>
      <w:lvlText w:val="•"/>
      <w:lvlJc w:val="left"/>
      <w:pPr>
        <w:ind w:left="4559" w:hanging="360"/>
      </w:pPr>
      <w:rPr>
        <w:rFonts w:hint="default"/>
      </w:rPr>
    </w:lvl>
    <w:lvl w:ilvl="5">
      <w:start w:val="0"/>
      <w:numFmt w:val="bullet"/>
      <w:lvlText w:val="•"/>
      <w:lvlJc w:val="left"/>
      <w:pPr>
        <w:ind w:left="5389" w:hanging="360"/>
      </w:pPr>
      <w:rPr>
        <w:rFonts w:hint="default"/>
      </w:rPr>
    </w:lvl>
    <w:lvl w:ilvl="6">
      <w:start w:val="0"/>
      <w:numFmt w:val="bullet"/>
      <w:lvlText w:val="•"/>
      <w:lvlJc w:val="left"/>
      <w:pPr>
        <w:ind w:left="6219" w:hanging="360"/>
      </w:pPr>
      <w:rPr>
        <w:rFonts w:hint="default"/>
      </w:rPr>
    </w:lvl>
    <w:lvl w:ilvl="7">
      <w:start w:val="0"/>
      <w:numFmt w:val="bullet"/>
      <w:lvlText w:val="•"/>
      <w:lvlJc w:val="left"/>
      <w:pPr>
        <w:ind w:left="7049" w:hanging="360"/>
      </w:pPr>
      <w:rPr>
        <w:rFonts w:hint="default"/>
      </w:rPr>
    </w:lvl>
    <w:lvl w:ilvl="8">
      <w:start w:val="0"/>
      <w:numFmt w:val="bullet"/>
      <w:lvlText w:val="•"/>
      <w:lvlJc w:val="left"/>
      <w:pPr>
        <w:ind w:left="7879" w:hanging="360"/>
      </w:pPr>
      <w:rPr>
        <w:rFonts w:hint="default"/>
      </w:rPr>
    </w:lvl>
  </w:abstractNum>
  <w:abstractNum w:abstractNumId="3">
    <w:multiLevelType w:val="hybridMultilevel"/>
    <w:lvl w:ilvl="0">
      <w:start w:val="0"/>
      <w:numFmt w:val="bullet"/>
      <w:lvlText w:val="•"/>
      <w:lvlJc w:val="left"/>
      <w:pPr>
        <w:ind w:left="1240" w:hanging="360"/>
      </w:pPr>
      <w:rPr>
        <w:rFonts w:hint="default" w:ascii="Cambria" w:hAnsi="Cambria" w:eastAsia="Cambria" w:cs="Cambria"/>
        <w:spacing w:val="-5"/>
        <w:w w:val="100"/>
        <w:sz w:val="24"/>
        <w:szCs w:val="24"/>
      </w:rPr>
    </w:lvl>
    <w:lvl w:ilvl="1">
      <w:start w:val="0"/>
      <w:numFmt w:val="bullet"/>
      <w:lvlText w:val="•"/>
      <w:lvlJc w:val="left"/>
      <w:pPr>
        <w:ind w:left="2069" w:hanging="360"/>
      </w:pPr>
      <w:rPr>
        <w:rFonts w:hint="default"/>
      </w:rPr>
    </w:lvl>
    <w:lvl w:ilvl="2">
      <w:start w:val="0"/>
      <w:numFmt w:val="bullet"/>
      <w:lvlText w:val="•"/>
      <w:lvlJc w:val="left"/>
      <w:pPr>
        <w:ind w:left="2899" w:hanging="360"/>
      </w:pPr>
      <w:rPr>
        <w:rFonts w:hint="default"/>
      </w:rPr>
    </w:lvl>
    <w:lvl w:ilvl="3">
      <w:start w:val="0"/>
      <w:numFmt w:val="bullet"/>
      <w:lvlText w:val="•"/>
      <w:lvlJc w:val="left"/>
      <w:pPr>
        <w:ind w:left="3729" w:hanging="360"/>
      </w:pPr>
      <w:rPr>
        <w:rFonts w:hint="default"/>
      </w:rPr>
    </w:lvl>
    <w:lvl w:ilvl="4">
      <w:start w:val="0"/>
      <w:numFmt w:val="bullet"/>
      <w:lvlText w:val="•"/>
      <w:lvlJc w:val="left"/>
      <w:pPr>
        <w:ind w:left="4559" w:hanging="360"/>
      </w:pPr>
      <w:rPr>
        <w:rFonts w:hint="default"/>
      </w:rPr>
    </w:lvl>
    <w:lvl w:ilvl="5">
      <w:start w:val="0"/>
      <w:numFmt w:val="bullet"/>
      <w:lvlText w:val="•"/>
      <w:lvlJc w:val="left"/>
      <w:pPr>
        <w:ind w:left="5389" w:hanging="360"/>
      </w:pPr>
      <w:rPr>
        <w:rFonts w:hint="default"/>
      </w:rPr>
    </w:lvl>
    <w:lvl w:ilvl="6">
      <w:start w:val="0"/>
      <w:numFmt w:val="bullet"/>
      <w:lvlText w:val="•"/>
      <w:lvlJc w:val="left"/>
      <w:pPr>
        <w:ind w:left="6219" w:hanging="360"/>
      </w:pPr>
      <w:rPr>
        <w:rFonts w:hint="default"/>
      </w:rPr>
    </w:lvl>
    <w:lvl w:ilvl="7">
      <w:start w:val="0"/>
      <w:numFmt w:val="bullet"/>
      <w:lvlText w:val="•"/>
      <w:lvlJc w:val="left"/>
      <w:pPr>
        <w:ind w:left="7049" w:hanging="360"/>
      </w:pPr>
      <w:rPr>
        <w:rFonts w:hint="default"/>
      </w:rPr>
    </w:lvl>
    <w:lvl w:ilvl="8">
      <w:start w:val="0"/>
      <w:numFmt w:val="bullet"/>
      <w:lvlText w:val="•"/>
      <w:lvlJc w:val="left"/>
      <w:pPr>
        <w:ind w:left="7879" w:hanging="360"/>
      </w:pPr>
      <w:rPr>
        <w:rFonts w:hint="default"/>
      </w:rPr>
    </w:lvl>
  </w:abstractNum>
  <w:abstractNum w:abstractNumId="1">
    <w:multiLevelType w:val="hybridMultilevel"/>
    <w:lvl w:ilvl="0">
      <w:start w:val="1"/>
      <w:numFmt w:val="lowerLetter"/>
      <w:lvlText w:val="%1)"/>
      <w:lvlJc w:val="left"/>
      <w:pPr>
        <w:ind w:left="1154" w:hanging="305"/>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997" w:hanging="305"/>
      </w:pPr>
      <w:rPr>
        <w:rFonts w:hint="default"/>
      </w:rPr>
    </w:lvl>
    <w:lvl w:ilvl="2">
      <w:start w:val="0"/>
      <w:numFmt w:val="bullet"/>
      <w:lvlText w:val="•"/>
      <w:lvlJc w:val="left"/>
      <w:pPr>
        <w:ind w:left="2835" w:hanging="305"/>
      </w:pPr>
      <w:rPr>
        <w:rFonts w:hint="default"/>
      </w:rPr>
    </w:lvl>
    <w:lvl w:ilvl="3">
      <w:start w:val="0"/>
      <w:numFmt w:val="bullet"/>
      <w:lvlText w:val="•"/>
      <w:lvlJc w:val="left"/>
      <w:pPr>
        <w:ind w:left="3673" w:hanging="305"/>
      </w:pPr>
      <w:rPr>
        <w:rFonts w:hint="default"/>
      </w:rPr>
    </w:lvl>
    <w:lvl w:ilvl="4">
      <w:start w:val="0"/>
      <w:numFmt w:val="bullet"/>
      <w:lvlText w:val="•"/>
      <w:lvlJc w:val="left"/>
      <w:pPr>
        <w:ind w:left="4511" w:hanging="305"/>
      </w:pPr>
      <w:rPr>
        <w:rFonts w:hint="default"/>
      </w:rPr>
    </w:lvl>
    <w:lvl w:ilvl="5">
      <w:start w:val="0"/>
      <w:numFmt w:val="bullet"/>
      <w:lvlText w:val="•"/>
      <w:lvlJc w:val="left"/>
      <w:pPr>
        <w:ind w:left="5349" w:hanging="305"/>
      </w:pPr>
      <w:rPr>
        <w:rFonts w:hint="default"/>
      </w:rPr>
    </w:lvl>
    <w:lvl w:ilvl="6">
      <w:start w:val="0"/>
      <w:numFmt w:val="bullet"/>
      <w:lvlText w:val="•"/>
      <w:lvlJc w:val="left"/>
      <w:pPr>
        <w:ind w:left="6187" w:hanging="305"/>
      </w:pPr>
      <w:rPr>
        <w:rFonts w:hint="default"/>
      </w:rPr>
    </w:lvl>
    <w:lvl w:ilvl="7">
      <w:start w:val="0"/>
      <w:numFmt w:val="bullet"/>
      <w:lvlText w:val="•"/>
      <w:lvlJc w:val="left"/>
      <w:pPr>
        <w:ind w:left="7025" w:hanging="305"/>
      </w:pPr>
      <w:rPr>
        <w:rFonts w:hint="default"/>
      </w:rPr>
    </w:lvl>
    <w:lvl w:ilvl="8">
      <w:start w:val="0"/>
      <w:numFmt w:val="bullet"/>
      <w:lvlText w:val="•"/>
      <w:lvlJc w:val="left"/>
      <w:pPr>
        <w:ind w:left="7863" w:hanging="305"/>
      </w:pPr>
      <w:rPr>
        <w:rFonts w:hint="default"/>
      </w:rPr>
    </w:lvl>
  </w:abstractNum>
  <w:abstractNum w:abstractNumId="0">
    <w:multiLevelType w:val="hybridMultilevel"/>
    <w:lvl w:ilvl="0">
      <w:start w:val="1"/>
      <w:numFmt w:val="decimal"/>
      <w:lvlText w:val="%1."/>
      <w:lvlJc w:val="left"/>
      <w:pPr>
        <w:ind w:left="522" w:hanging="250"/>
        <w:jc w:val="left"/>
      </w:pPr>
      <w:rPr>
        <w:rFonts w:hint="default" w:ascii="Cambria" w:hAnsi="Cambria" w:eastAsia="Cambria" w:cs="Cambria"/>
        <w:b/>
        <w:bCs/>
        <w:spacing w:val="-1"/>
        <w:w w:val="100"/>
        <w:sz w:val="24"/>
        <w:szCs w:val="24"/>
      </w:rPr>
    </w:lvl>
    <w:lvl w:ilvl="1">
      <w:start w:val="1"/>
      <w:numFmt w:val="lowerLetter"/>
      <w:lvlText w:val="%2)"/>
      <w:lvlJc w:val="left"/>
      <w:pPr>
        <w:ind w:left="1154" w:hanging="305"/>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2091" w:hanging="305"/>
      </w:pPr>
      <w:rPr>
        <w:rFonts w:hint="default"/>
      </w:rPr>
    </w:lvl>
    <w:lvl w:ilvl="3">
      <w:start w:val="0"/>
      <w:numFmt w:val="bullet"/>
      <w:lvlText w:val="•"/>
      <w:lvlJc w:val="left"/>
      <w:pPr>
        <w:ind w:left="3022" w:hanging="305"/>
      </w:pPr>
      <w:rPr>
        <w:rFonts w:hint="default"/>
      </w:rPr>
    </w:lvl>
    <w:lvl w:ilvl="4">
      <w:start w:val="0"/>
      <w:numFmt w:val="bullet"/>
      <w:lvlText w:val="•"/>
      <w:lvlJc w:val="left"/>
      <w:pPr>
        <w:ind w:left="3953" w:hanging="305"/>
      </w:pPr>
      <w:rPr>
        <w:rFonts w:hint="default"/>
      </w:rPr>
    </w:lvl>
    <w:lvl w:ilvl="5">
      <w:start w:val="0"/>
      <w:numFmt w:val="bullet"/>
      <w:lvlText w:val="•"/>
      <w:lvlJc w:val="left"/>
      <w:pPr>
        <w:ind w:left="4884" w:hanging="305"/>
      </w:pPr>
      <w:rPr>
        <w:rFonts w:hint="default"/>
      </w:rPr>
    </w:lvl>
    <w:lvl w:ilvl="6">
      <w:start w:val="0"/>
      <w:numFmt w:val="bullet"/>
      <w:lvlText w:val="•"/>
      <w:lvlJc w:val="left"/>
      <w:pPr>
        <w:ind w:left="5815" w:hanging="305"/>
      </w:pPr>
      <w:rPr>
        <w:rFonts w:hint="default"/>
      </w:rPr>
    </w:lvl>
    <w:lvl w:ilvl="7">
      <w:start w:val="0"/>
      <w:numFmt w:val="bullet"/>
      <w:lvlText w:val="•"/>
      <w:lvlJc w:val="left"/>
      <w:pPr>
        <w:ind w:left="6746" w:hanging="305"/>
      </w:pPr>
      <w:rPr>
        <w:rFonts w:hint="default"/>
      </w:rPr>
    </w:lvl>
    <w:lvl w:ilvl="8">
      <w:start w:val="0"/>
      <w:numFmt w:val="bullet"/>
      <w:lvlText w:val="•"/>
      <w:lvlJc w:val="left"/>
      <w:pPr>
        <w:ind w:left="7677" w:hanging="305"/>
      </w:pPr>
      <w:rPr>
        <w:rFonts w:hint="default"/>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4"/>
      <w:szCs w:val="24"/>
    </w:rPr>
  </w:style>
  <w:style w:styleId="Heading1" w:type="paragraph">
    <w:name w:val="Heading 1"/>
    <w:basedOn w:val="Normal"/>
    <w:uiPriority w:val="1"/>
    <w:qFormat/>
    <w:pPr>
      <w:ind w:left="522" w:hanging="249"/>
      <w:jc w:val="both"/>
      <w:outlineLvl w:val="1"/>
    </w:pPr>
    <w:rPr>
      <w:rFonts w:ascii="Cambria" w:hAnsi="Cambria" w:eastAsia="Cambria" w:cs="Cambria"/>
      <w:b/>
      <w:bCs/>
      <w:sz w:val="24"/>
      <w:szCs w:val="24"/>
    </w:rPr>
  </w:style>
  <w:style w:styleId="ListParagraph" w:type="paragraph">
    <w:name w:val="List Paragraph"/>
    <w:basedOn w:val="Normal"/>
    <w:uiPriority w:val="1"/>
    <w:qFormat/>
    <w:pPr>
      <w:ind w:left="522" w:hanging="249"/>
    </w:pPr>
    <w:rPr>
      <w:rFonts w:ascii="Cambria" w:hAnsi="Cambria" w:eastAsia="Cambria" w:cs="Cambr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gazzettaufficiale.it/atto/serie_generale/caricaDettaglioAtto/originario?atto.dataPubblicazioneGazzetta=2017-09-18&amp;amp;atto.codiceRedazionale=17G00146&amp;amp;elenco30giorni=false" TargetMode="External"/><Relationship Id="rId8" Type="http://schemas.openxmlformats.org/officeDocument/2006/relationships/hyperlink" Target="https://assistenza.agenziaentrate.gov.it/assistenza/index.asp?idFolder=471&amp;amp;amp%3BidServ=1" TargetMode="External"/><Relationship Id="rId9" Type="http://schemas.openxmlformats.org/officeDocument/2006/relationships/hyperlink" Target="http://www.18app.it/" TargetMode="External"/><Relationship Id="rId10" Type="http://schemas.openxmlformats.org/officeDocument/2006/relationships/hyperlink" Target="http://www.agid.gov.it/sites/default/files/manuale_operativo_3.pdf" TargetMode="External"/><Relationship Id="rId11" Type="http://schemas.openxmlformats.org/officeDocument/2006/relationships/hyperlink" Target="http://www.agid.gov.it/sites/default/files/manuale_operativo_spid_0.pdf" TargetMode="External"/><Relationship Id="rId12" Type="http://schemas.openxmlformats.org/officeDocument/2006/relationships/hyperlink" Target="http://www.agid.gov.it/sites/default/files/manuale_operativo.pdf" TargetMode="External"/><Relationship Id="rId13" Type="http://schemas.openxmlformats.org/officeDocument/2006/relationships/hyperlink" Target="http://www.agid.gov.it/sites/default/files/manuale_operativo_1.pdf" TargetMode="External"/><Relationship Id="rId14" Type="http://schemas.openxmlformats.org/officeDocument/2006/relationships/hyperlink" Target="http://www.agid.gov.it/sites/default/files/manualeoperativo.pdf" TargetMode="External"/><Relationship Id="rId15" Type="http://schemas.openxmlformats.org/officeDocument/2006/relationships/hyperlink" Target="http://www.agid.gov.it/sites/default/files/spidprin.tt_.somo15000.03_-_manuale_operativo_del_servizio_tim_id.pdf" TargetMode="External"/><Relationship Id="rId16" Type="http://schemas.openxmlformats.org/officeDocument/2006/relationships/hyperlink" Target="https://www.18app.italia.it/static/18app%20infoprivacy_completa.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Scorza</dc:creator>
  <dcterms:created xsi:type="dcterms:W3CDTF">2017-11-04T14:09:54Z</dcterms:created>
  <dcterms:modified xsi:type="dcterms:W3CDTF">2017-11-04T14:09:54Z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2017-09-19T00:00:00Z</vt:filetime>
  </property>
  <property fmtid="{D5CDD505-2E9C-101B-9397-08002B2CF9AE}" pid="3" name="Creator">
    <vt:lpwstr>Microsoft® Word 2010</vt:lpwstr>
  </property>
  <property fmtid="{D5CDD505-2E9C-101B-9397-08002B2CF9AE}" pid="4" name="LastSaved">
    <vt:filetime>2017-11-04T00:00:00Z</vt:filetime>
  </property>
</Properties>
</file>