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363" w:val="left" w:leader="none"/>
        </w:tabs>
        <w:spacing w:line="240" w:lineRule="auto" w:before="92" w:after="0"/>
        <w:ind w:left="362" w:right="0" w:hanging="250"/>
        <w:jc w:val="both"/>
      </w:pPr>
      <w:r>
        <w:rPr/>
        <w:t>Oggetto del</w:t>
      </w:r>
      <w:r>
        <w:rPr>
          <w:spacing w:val="-2"/>
        </w:rPr>
        <w:t> </w:t>
      </w:r>
      <w:r>
        <w:rPr/>
        <w:t>servizio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236"/>
        <w:ind w:right="108"/>
        <w:jc w:val="both"/>
      </w:pPr>
      <w:r>
        <w:rPr/>
        <w:t>Il presente servizio è volto a consentire agli esercenti o agli enti di formazione, accreditati/qualificati ai sensi della Direttiva 170/2016, attraverso l'apposita applicazione web, di registrarsi al servizio ed offrire ai docenti la vendita dei beni o servizi previsti dall’art.1, comma 121 della legge 107/2015 (Buona Scuola). I docenti hanno 500 euro da spendere per il loro aggiornamento professionale. Potranno utilizzarli per acquistare, fra l’altro, libri, riviste, ingressi nei musei, biglietti per eventi culturali, teatro e cinema, per l’iscrizione a corsi di laurea o master universitari, per l’iscrizione a corsi per attività di aggiornamento, svolti da enti accreditati presso il Ministero dell'Istruzione, dell'Università e della Ricerca.</w:t>
      </w:r>
    </w:p>
    <w:p>
      <w:pPr>
        <w:pStyle w:val="BodyText"/>
        <w:ind w:right="111"/>
        <w:jc w:val="both"/>
      </w:pPr>
      <w:r>
        <w:rPr/>
        <w:t>Gli esercenti o gli enti di formazione potranno validare i buoni di spesa generati dai docenti. Il controvalore dei buoni validati sarà liquidato dalla società Consap per conto del Ministero dell’Istruzione, dell’Università e della Ricerca .</w:t>
      </w:r>
    </w:p>
    <w:p>
      <w:pPr>
        <w:pStyle w:val="BodyText"/>
        <w:spacing w:before="1"/>
        <w:ind w:right="111"/>
        <w:jc w:val="both"/>
      </w:pPr>
      <w:r>
        <w:rPr/>
        <w:t>Eventuali questioni relative alla liquidazione delle somme dovute agli esercenti potranno essere rivolte direttamente alla citata società CONSAP, quale soggetto responsabile del pagamento.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1"/>
        </w:numPr>
        <w:tabs>
          <w:tab w:pos="363" w:val="left" w:leader="none"/>
        </w:tabs>
        <w:spacing w:line="281" w:lineRule="exact" w:before="0" w:after="0"/>
        <w:ind w:left="362" w:right="0" w:hanging="250"/>
        <w:jc w:val="both"/>
      </w:pPr>
      <w:r>
        <w:rPr/>
        <w:t>Registrazione ed utilizzo del</w:t>
      </w:r>
      <w:r>
        <w:rPr>
          <w:spacing w:val="-2"/>
        </w:rPr>
        <w:t> </w:t>
      </w:r>
      <w:r>
        <w:rPr/>
        <w:t>servizio</w:t>
      </w:r>
    </w:p>
    <w:p>
      <w:pPr>
        <w:pStyle w:val="BodyText"/>
        <w:ind w:right="75"/>
      </w:pPr>
      <w:r>
        <w:rPr/>
        <w:t>Per partecipare all’iniziativa Carta del Docente ed essere inserito nell’elenco degli esercizi commerciali o nell’elenco degli enti di formazione, accreditati/qualificati ai sensi della Direttiva 170/2016, presso i quali i buoni di spesa di cui al punto precedente possono essere utilizzati, l’esercente o l’ente di formazione deve registrarsi al presente servizio utilizzando le credenziali, già in suo possesso, fornite dall’Agenzie delle Entrate, seguendo le istruzioni riportate qui: </w:t>
      </w:r>
      <w:hyperlink r:id="rId6">
        <w:r>
          <w:rPr>
            <w:color w:val="0000FF"/>
            <w:u w:val="single" w:color="0000FF"/>
          </w:rPr>
          <w:t>https://assistenza.agenziaentrate.gov.it/assistenza/index.asp?idFolder=471&amp;idServ=1</w:t>
        </w:r>
      </w:hyperlink>
    </w:p>
    <w:p>
      <w:pPr>
        <w:pStyle w:val="BodyText"/>
        <w:ind w:left="0"/>
      </w:pPr>
    </w:p>
    <w:p>
      <w:pPr>
        <w:pStyle w:val="BodyText"/>
        <w:ind w:right="111"/>
        <w:jc w:val="both"/>
      </w:pPr>
      <w:r>
        <w:rPr/>
        <w:t>L’esercente o l’ente di formazione prende atto ed accetta che il servizio lo identificherà, riconoscendogli accesso alle funzionalità di verifica, incasso e richiesta di liquidazione dei buono attraverso le citate credenziali e che, pertanto, chiunque entrasse fraudolentemente in possesso delle stesse potrà essere abilitato all’utilizzo del servizio medesimo al suo posto.</w:t>
      </w:r>
    </w:p>
    <w:p>
      <w:pPr>
        <w:pStyle w:val="BodyText"/>
        <w:ind w:right="112"/>
        <w:jc w:val="both"/>
      </w:pPr>
      <w:r>
        <w:rPr/>
        <w:t>Al riguardo l’utente prende atto di essere stato informato dell’obbligo di tempestiva denuncia in ogni ipotesi di perdita di possesso delle citate credenziali al fine di consentirne il blocco immediato.</w:t>
      </w:r>
    </w:p>
    <w:p>
      <w:pPr>
        <w:pStyle w:val="BodyText"/>
        <w:ind w:left="0"/>
      </w:pPr>
    </w:p>
    <w:p>
      <w:pPr>
        <w:pStyle w:val="BodyText"/>
        <w:ind w:right="115"/>
        <w:jc w:val="both"/>
      </w:pPr>
      <w:r>
        <w:rPr/>
        <w:t>L’esercente o l’ente di formazione prende altresì atto che ai fini della liquidazione dei buoni validati dovrà disporre o dotarsi di un sistema di fatturazione elettronica conforme alla disciplina vigente e che, in assenza, non potrà, in alcun modo, vedersi liquidare il valore dei buoni eventualmente incassati.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1"/>
        </w:numPr>
        <w:tabs>
          <w:tab w:pos="363" w:val="left" w:leader="none"/>
        </w:tabs>
        <w:spacing w:line="281" w:lineRule="exact" w:before="1" w:after="0"/>
        <w:ind w:left="362" w:right="0" w:hanging="250"/>
        <w:jc w:val="both"/>
      </w:pPr>
      <w:r>
        <w:rPr/>
        <w:t>Incasso dei buono di</w:t>
      </w:r>
      <w:r>
        <w:rPr>
          <w:spacing w:val="-5"/>
        </w:rPr>
        <w:t> </w:t>
      </w:r>
      <w:r>
        <w:rPr/>
        <w:t>spesa</w:t>
      </w:r>
    </w:p>
    <w:p>
      <w:pPr>
        <w:pStyle w:val="BodyText"/>
        <w:ind w:right="111"/>
        <w:jc w:val="both"/>
      </w:pPr>
      <w:r>
        <w:rPr/>
        <w:t>L’esercente o l’ente di formazione prende atto che i buoni di spesa generati attraverso cartadeldocente.istruzione.it possono essere utilizzati esclusivamente per la vendita, al solo docente il cui nome è riportato sui buoni medesimi, dei seguenti beni e servizi: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76" w:lineRule="auto" w:before="0" w:after="0"/>
        <w:ind w:left="112" w:right="945" w:firstLine="0"/>
        <w:jc w:val="left"/>
        <w:rPr>
          <w:sz w:val="24"/>
        </w:rPr>
      </w:pPr>
      <w:r>
        <w:rPr>
          <w:sz w:val="24"/>
        </w:rPr>
        <w:t>libri e testi, anche in formato digitale, pubblicazioni e riviste comunque utili all'aggiornamento</w:t>
      </w:r>
      <w:r>
        <w:rPr>
          <w:spacing w:val="51"/>
          <w:sz w:val="24"/>
        </w:rPr>
        <w:t> </w:t>
      </w:r>
      <w:r>
        <w:rPr>
          <w:sz w:val="24"/>
        </w:rPr>
        <w:t>professionale;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112" w:right="0" w:firstLine="0"/>
        <w:jc w:val="both"/>
        <w:rPr>
          <w:sz w:val="24"/>
        </w:rPr>
      </w:pPr>
      <w:r>
        <w:rPr>
          <w:sz w:val="24"/>
        </w:rPr>
        <w:t>hardware e</w:t>
      </w:r>
      <w:r>
        <w:rPr>
          <w:spacing w:val="-2"/>
          <w:sz w:val="24"/>
        </w:rPr>
        <w:t> </w:t>
      </w:r>
      <w:r>
        <w:rPr>
          <w:sz w:val="24"/>
        </w:rPr>
        <w:t>software;</w:t>
      </w:r>
    </w:p>
    <w:p>
      <w:pPr>
        <w:spacing w:after="0" w:line="240" w:lineRule="auto"/>
        <w:jc w:val="both"/>
        <w:rPr>
          <w:sz w:val="24"/>
        </w:rPr>
        <w:sectPr>
          <w:headerReference w:type="default" r:id="rId5"/>
          <w:type w:val="continuous"/>
          <w:pgSz w:w="11900" w:h="16850"/>
          <w:pgMar w:header="705" w:top="1320" w:bottom="280" w:left="1020" w:right="1020"/>
        </w:sect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76" w:lineRule="auto" w:before="90" w:after="0"/>
        <w:ind w:left="112" w:right="357" w:firstLine="0"/>
        <w:jc w:val="both"/>
        <w:rPr>
          <w:sz w:val="24"/>
        </w:rPr>
      </w:pPr>
      <w:r>
        <w:rPr>
          <w:sz w:val="24"/>
        </w:rPr>
        <w:t>iscrizione a corsi per attività di aggiornamento e di qualificazione delle competenze professionali, svolti da enti accreditati presso il Ministero dell'istruzione, dell'università e della</w:t>
      </w:r>
      <w:r>
        <w:rPr>
          <w:spacing w:val="-1"/>
          <w:sz w:val="24"/>
        </w:rPr>
        <w:t> </w:t>
      </w:r>
      <w:r>
        <w:rPr>
          <w:sz w:val="24"/>
        </w:rPr>
        <w:t>ricerca;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76" w:lineRule="auto" w:before="1" w:after="0"/>
        <w:ind w:left="112" w:right="224" w:firstLine="0"/>
        <w:jc w:val="left"/>
        <w:rPr>
          <w:sz w:val="24"/>
        </w:rPr>
      </w:pPr>
      <w:r>
        <w:rPr>
          <w:sz w:val="24"/>
        </w:rPr>
        <w:t>iscrizione a corsi di laurea, di laurea magistrale, specialistica o a ciclo unico, inerenti</w:t>
      </w:r>
      <w:r>
        <w:rPr>
          <w:spacing w:val="-34"/>
          <w:sz w:val="24"/>
        </w:rPr>
        <w:t> </w:t>
      </w:r>
      <w:r>
        <w:rPr>
          <w:sz w:val="24"/>
        </w:rPr>
        <w:t>al profilo professionale, ovvero a corsi post lauream o  a  master  universitari  inerenti  al profilo</w:t>
      </w:r>
      <w:r>
        <w:rPr>
          <w:spacing w:val="-1"/>
          <w:sz w:val="24"/>
        </w:rPr>
        <w:t> </w:t>
      </w:r>
      <w:r>
        <w:rPr>
          <w:sz w:val="24"/>
        </w:rPr>
        <w:t>professionale;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80" w:lineRule="exact" w:before="0" w:after="0"/>
        <w:ind w:left="112" w:right="0" w:firstLine="0"/>
        <w:jc w:val="left"/>
        <w:rPr>
          <w:sz w:val="24"/>
        </w:rPr>
      </w:pPr>
      <w:r>
        <w:rPr>
          <w:sz w:val="24"/>
        </w:rPr>
        <w:t>titoli di accesso per rappresentazioni teatrali e</w:t>
      </w:r>
      <w:r>
        <w:rPr>
          <w:spacing w:val="-9"/>
          <w:sz w:val="24"/>
        </w:rPr>
        <w:t> </w:t>
      </w:r>
      <w:r>
        <w:rPr>
          <w:sz w:val="24"/>
        </w:rPr>
        <w:t>cinematografiche;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45" w:after="0"/>
        <w:ind w:left="112" w:right="0" w:firstLine="0"/>
        <w:jc w:val="left"/>
        <w:rPr>
          <w:sz w:val="24"/>
        </w:rPr>
      </w:pPr>
      <w:r>
        <w:rPr>
          <w:sz w:val="24"/>
        </w:rPr>
        <w:t>titoli per l’ingresso a musei, mostre ed eventi culturali e spettacoli dal</w:t>
      </w:r>
      <w:r>
        <w:rPr>
          <w:spacing w:val="-12"/>
          <w:sz w:val="24"/>
        </w:rPr>
        <w:t> </w:t>
      </w:r>
      <w:r>
        <w:rPr>
          <w:sz w:val="24"/>
        </w:rPr>
        <w:t>vivo;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242" w:after="0"/>
        <w:ind w:left="112" w:right="116" w:firstLine="0"/>
        <w:jc w:val="both"/>
        <w:rPr>
          <w:sz w:val="24"/>
        </w:rPr>
      </w:pPr>
      <w:r>
        <w:rPr>
          <w:sz w:val="24"/>
        </w:rPr>
        <w:t>iniziative coerenti con le attività individuate nell'ambito del piano triennale dell'offerta formativa delle scuole e del Piano nazionale di formazione, di cui articolo 1, comma 124, della legge n. 107 del 2015(Buona</w:t>
      </w:r>
      <w:r>
        <w:rPr>
          <w:spacing w:val="-1"/>
          <w:sz w:val="24"/>
        </w:rPr>
        <w:t> </w:t>
      </w:r>
      <w:r>
        <w:rPr>
          <w:sz w:val="24"/>
        </w:rPr>
        <w:t>Scuola).</w:t>
      </w:r>
    </w:p>
    <w:p>
      <w:pPr>
        <w:pStyle w:val="BodyText"/>
        <w:spacing w:before="1"/>
        <w:ind w:left="0"/>
      </w:pPr>
    </w:p>
    <w:p>
      <w:pPr>
        <w:pStyle w:val="BodyText"/>
        <w:ind w:right="112"/>
        <w:jc w:val="both"/>
      </w:pPr>
      <w:r>
        <w:rPr/>
        <w:t>È , pertanto, vietato incassare i buoni di spesa generati attraverso il servizio da un soggetto diverso rispetto al titolare del buono il cui nome è riportato sullo stesso e/o a fronte della vendita di beni o servizi diversi rispetto a quelli di cui alle lettere da a) a g) che precedono.</w:t>
      </w:r>
    </w:p>
    <w:p>
      <w:pPr>
        <w:pStyle w:val="BodyText"/>
        <w:ind w:left="0"/>
      </w:pPr>
    </w:p>
    <w:p>
      <w:pPr>
        <w:pStyle w:val="BodyText"/>
        <w:ind w:right="112"/>
        <w:jc w:val="both"/>
      </w:pPr>
      <w:r>
        <w:rPr/>
        <w:t>Gli acquisti non possono dunque, essere delegati ad altre persone e i buoni di spesa sono strettamente nominali. L’incasso dei buoni di spesa e la richiesta di liquidazione del relativo valore, previa fatturazione elettronica al Ministero dell’Istruzione, dell’Università e della Ricerca, dovrà avvenire in conformità alle istruzioni disponibili qui: </w:t>
      </w:r>
      <w:hyperlink r:id="rId7">
        <w:r>
          <w:rPr>
            <w:color w:val="0000FF"/>
            <w:u w:val="single" w:color="0000FF"/>
          </w:rPr>
          <w:t>https://cartadeldocente.istruzione.it/static/Linee%20Guida%20Fatturazione.pdf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363" w:val="left" w:leader="none"/>
        </w:tabs>
        <w:spacing w:line="240" w:lineRule="auto" w:before="100" w:after="0"/>
        <w:ind w:left="362" w:right="0" w:hanging="250"/>
        <w:jc w:val="left"/>
      </w:pPr>
      <w:r>
        <w:rPr/>
        <w:t>Vigilanza e sanzioni</w:t>
      </w:r>
    </w:p>
    <w:p>
      <w:pPr>
        <w:pStyle w:val="BodyText"/>
        <w:ind w:right="111"/>
        <w:jc w:val="both"/>
      </w:pPr>
      <w:r>
        <w:rPr/>
        <w:t>Il Ministero dell’Istruzione, dell’Università e della Ricerca vigila sulla corretta applicazione da parte dell’esercente o dell’ente di formazione, delle regole che precedono nonché di quelle dettate nella disciplina vigente e, in caso di eventuali violazioni, provvede alla esclusione dell’esercente o ente di formazione, autore della violazione, fatte salve le ulteriori sanzioni previste dalla normativa vigente.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363" w:val="left" w:leader="none"/>
        </w:tabs>
        <w:spacing w:line="281" w:lineRule="exact" w:before="1" w:after="0"/>
        <w:ind w:left="362" w:right="0" w:hanging="250"/>
        <w:jc w:val="left"/>
      </w:pPr>
      <w:r>
        <w:rPr/>
        <w:t>Responsabilità del fornitore del servizio e dei fornitori dell’identità</w:t>
      </w:r>
      <w:r>
        <w:rPr>
          <w:spacing w:val="-19"/>
        </w:rPr>
        <w:t> </w:t>
      </w:r>
      <w:r>
        <w:rPr/>
        <w:t>digitale</w:t>
      </w:r>
    </w:p>
    <w:p>
      <w:pPr>
        <w:pStyle w:val="BodyText"/>
        <w:ind w:right="111"/>
        <w:jc w:val="both"/>
      </w:pPr>
      <w:r>
        <w:rPr/>
        <w:t>Il fornitore del servizio compirà ogni ragionevole sforzo per garantire il buon funzionamento dello stesso in maniera ininterrotta. La SOGEI (Società Generale d’ Informatica) garantisce il valore soglia del 98% per l’operatività dell’applicazione “cartadeldocente” attiva 7 giorni alla settimana h24.</w:t>
      </w:r>
    </w:p>
    <w:p>
      <w:pPr>
        <w:pStyle w:val="BodyText"/>
        <w:ind w:right="111"/>
        <w:jc w:val="both"/>
      </w:pPr>
      <w:r>
        <w:rPr/>
        <w:t>I fornitori di Identità SPID garantiscono i livelli di servizio come riportato sui manuali operativi approvati da AgID (Agenzia per l’Italia Digitale):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33" w:val="left" w:leader="none"/>
          <w:tab w:pos="834" w:val="left" w:leader="none"/>
        </w:tabs>
        <w:spacing w:line="225" w:lineRule="auto" w:before="0" w:after="0"/>
        <w:ind w:left="833" w:right="1680" w:hanging="360"/>
        <w:jc w:val="left"/>
        <w:rPr>
          <w:sz w:val="24"/>
        </w:rPr>
      </w:pPr>
      <w:r>
        <w:rPr>
          <w:sz w:val="24"/>
        </w:rPr>
        <w:t>Infocert S.p.A. - Infocert ID (pagina 38) </w:t>
      </w:r>
      <w:hyperlink r:id="rId8">
        <w:r>
          <w:rPr>
            <w:spacing w:val="-1"/>
            <w:sz w:val="24"/>
          </w:rPr>
          <w:t>http://www.agid.gov.it/sites/default/files/manuale_operativo_spid.pdf</w:t>
        </w:r>
      </w:hyperlink>
    </w:p>
    <w:p>
      <w:pPr>
        <w:pStyle w:val="ListParagraph"/>
        <w:numPr>
          <w:ilvl w:val="0"/>
          <w:numId w:val="3"/>
        </w:numPr>
        <w:tabs>
          <w:tab w:pos="833" w:val="left" w:leader="none"/>
          <w:tab w:pos="834" w:val="left" w:leader="none"/>
        </w:tabs>
        <w:spacing w:line="225" w:lineRule="auto" w:before="29" w:after="0"/>
        <w:ind w:left="833" w:right="2204" w:hanging="360"/>
        <w:jc w:val="left"/>
        <w:rPr>
          <w:sz w:val="24"/>
        </w:rPr>
      </w:pPr>
      <w:r>
        <w:rPr>
          <w:sz w:val="24"/>
        </w:rPr>
        <w:t>Poste Italiane S.p.A. - Poste ID (pagina 48)</w:t>
      </w:r>
      <w:r>
        <w:rPr>
          <w:color w:val="0000FF"/>
          <w:sz w:val="24"/>
          <w:u w:val="single" w:color="0000FF"/>
        </w:rPr>
        <w:t> </w:t>
      </w:r>
      <w:hyperlink r:id="rId9">
        <w:r>
          <w:rPr>
            <w:color w:val="0000FF"/>
            <w:spacing w:val="-1"/>
            <w:sz w:val="24"/>
            <w:u w:val="single" w:color="0000FF"/>
          </w:rPr>
          <w:t>http://www.agid.gov.it/sites/default/files/manuale_operativo.pdf</w:t>
        </w:r>
      </w:hyperlink>
    </w:p>
    <w:p>
      <w:pPr>
        <w:pStyle w:val="ListParagraph"/>
        <w:numPr>
          <w:ilvl w:val="0"/>
          <w:numId w:val="3"/>
        </w:numPr>
        <w:tabs>
          <w:tab w:pos="833" w:val="left" w:leader="none"/>
          <w:tab w:pos="834" w:val="left" w:leader="none"/>
        </w:tabs>
        <w:spacing w:line="225" w:lineRule="auto" w:before="29" w:after="0"/>
        <w:ind w:left="833" w:right="3088" w:hanging="360"/>
        <w:jc w:val="left"/>
        <w:rPr>
          <w:sz w:val="24"/>
        </w:rPr>
      </w:pPr>
      <w:r>
        <w:rPr>
          <w:sz w:val="24"/>
        </w:rPr>
        <w:t>SIELTE S.p.A. - Sielte ID (pagina 27) </w:t>
      </w:r>
      <w:hyperlink r:id="rId10">
        <w:r>
          <w:rPr>
            <w:spacing w:val="-1"/>
            <w:sz w:val="24"/>
          </w:rPr>
          <w:t>http://www.sielteid.it/documents/ManualeOperativo.pdf</w:t>
        </w:r>
      </w:hyperlink>
    </w:p>
    <w:p>
      <w:pPr>
        <w:pStyle w:val="ListParagraph"/>
        <w:numPr>
          <w:ilvl w:val="0"/>
          <w:numId w:val="3"/>
        </w:numPr>
        <w:tabs>
          <w:tab w:pos="833" w:val="left" w:leader="none"/>
          <w:tab w:pos="834" w:val="left" w:leader="none"/>
        </w:tabs>
        <w:spacing w:line="232" w:lineRule="auto" w:before="22" w:after="0"/>
        <w:ind w:left="833" w:right="756" w:hanging="360"/>
        <w:jc w:val="left"/>
        <w:rPr>
          <w:sz w:val="24"/>
        </w:rPr>
      </w:pPr>
      <w:r>
        <w:rPr>
          <w:sz w:val="24"/>
        </w:rPr>
        <w:t>TI Trust Technologies S.r.l. - TIM ID (pagina 16)</w:t>
      </w:r>
      <w:r>
        <w:rPr>
          <w:color w:val="0000FF"/>
          <w:sz w:val="24"/>
          <w:u w:val="single" w:color="0000FF"/>
        </w:rPr>
        <w:t> </w:t>
      </w:r>
      <w:hyperlink r:id="rId11">
        <w:r>
          <w:rPr>
            <w:color w:val="0000FF"/>
            <w:spacing w:val="-1"/>
            <w:sz w:val="24"/>
            <w:u w:val="single" w:color="0000FF"/>
          </w:rPr>
          <w:t>http://www.agid.gov.it/sites/default/files/spidprin.tt_.somo15000.00-manuale-</w:t>
        </w:r>
      </w:hyperlink>
      <w:hyperlink r:id="rId11"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operativo-del-servizio-tim-id.pdf</w:t>
        </w:r>
      </w:hyperlink>
    </w:p>
    <w:p>
      <w:pPr>
        <w:spacing w:after="0" w:line="232" w:lineRule="auto"/>
        <w:jc w:val="left"/>
        <w:rPr>
          <w:sz w:val="24"/>
        </w:rPr>
        <w:sectPr>
          <w:pgSz w:w="11900" w:h="16850"/>
          <w:pgMar w:header="705" w:footer="0" w:top="1320" w:bottom="280" w:left="1020" w:right="1020"/>
        </w:sect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63" w:val="left" w:leader="none"/>
        </w:tabs>
        <w:spacing w:line="281" w:lineRule="exact" w:before="100" w:after="0"/>
        <w:ind w:left="362" w:right="0" w:hanging="250"/>
        <w:jc w:val="left"/>
      </w:pPr>
      <w:r>
        <w:rPr/>
        <w:t>Privacy</w:t>
      </w:r>
    </w:p>
    <w:p>
      <w:pPr>
        <w:pStyle w:val="BodyText"/>
        <w:spacing w:line="281" w:lineRule="exact"/>
      </w:pPr>
      <w:r>
        <w:rPr/>
        <w:t>Il titolare del trattamento è il Ministero dell’Istruzione, dell’Università e della Ricerca.</w:t>
      </w:r>
    </w:p>
    <w:p>
      <w:pPr>
        <w:pStyle w:val="BodyText"/>
        <w:ind w:right="114"/>
        <w:jc w:val="both"/>
      </w:pPr>
      <w:r>
        <w:rPr/>
        <w:t>I dati personali dell’esercente saranno trattati esclusivamente per consentirgli di accedere ed utilizzare il servizio in conformità a quanto riportato nell’apposita informativa al seguente link:</w:t>
      </w:r>
      <w:r>
        <w:rPr>
          <w:color w:val="0000FF"/>
        </w:rPr>
        <w:t> </w:t>
      </w:r>
      <w:hyperlink r:id="rId12">
        <w:r>
          <w:rPr>
            <w:color w:val="0000FF"/>
            <w:u w:val="single" w:color="0000FF"/>
          </w:rPr>
          <w:t>https://cartadeldocente.istruzione.it/static/cartadeldocente_infoprivacy.pdf</w:t>
        </w:r>
      </w:hyperlink>
    </w:p>
    <w:p>
      <w:pPr>
        <w:pStyle w:val="BodyText"/>
        <w:ind w:left="0"/>
      </w:pPr>
    </w:p>
    <w:p>
      <w:pPr>
        <w:pStyle w:val="Heading1"/>
        <w:numPr>
          <w:ilvl w:val="0"/>
          <w:numId w:val="1"/>
        </w:numPr>
        <w:tabs>
          <w:tab w:pos="363" w:val="left" w:leader="none"/>
        </w:tabs>
        <w:spacing w:line="281" w:lineRule="exact" w:before="0" w:after="0"/>
        <w:ind w:left="362" w:right="0" w:hanging="250"/>
        <w:jc w:val="left"/>
      </w:pPr>
      <w:r>
        <w:rPr/>
        <w:t>Disciplina</w:t>
      </w:r>
      <w:r>
        <w:rPr>
          <w:spacing w:val="0"/>
        </w:rPr>
        <w:t> </w:t>
      </w:r>
      <w:r>
        <w:rPr/>
        <w:t>applicabile</w:t>
      </w:r>
    </w:p>
    <w:p>
      <w:pPr>
        <w:pStyle w:val="BodyText"/>
        <w:ind w:left="396" w:right="287"/>
      </w:pPr>
      <w:r>
        <w:rPr/>
        <w:t>Per tutto quanto non espressamente previsto nelle presenti condizioni, sarà applicabile la disciplina prevista dall’art.1della Legge 107/2015 e dal DPCM del 28 novembre 2016 </w:t>
      </w:r>
      <w:r>
        <w:rPr>
          <w:rFonts w:ascii="Calibri" w:hAnsi="Calibri"/>
        </w:rPr>
        <w:t>disponibile al seguente link: </w:t>
      </w:r>
      <w:hyperlink r:id="rId13">
        <w:r>
          <w:rPr>
            <w:color w:val="0000FF"/>
            <w:u w:val="single" w:color="0000FF"/>
          </w:rPr>
          <w:t>http://www.gazzettaufficiale.it/eli/id/2016/12/1/16A08470/sg</w:t>
        </w:r>
      </w:hyperlink>
    </w:p>
    <w:sectPr>
      <w:pgSz w:w="11900" w:h="16850"/>
      <w:pgMar w:header="705" w:footer="0" w:top="13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0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2.449997pt;margin-top:34.248219pt;width:306.9pt;height:12.6pt;mso-position-horizontal-relative:page;mso-position-vertical-relative:page;z-index:-34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4F81BC"/>
                    <w:sz w:val="18"/>
                  </w:rPr>
                  <w:t>Carta del Docente - condizioni d’uso del servizio per esercenti o enti di formazione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w w:val="76"/>
        <w:sz w:val="24"/>
        <w:szCs w:val="24"/>
        <w:lang w:val="it-IT" w:eastAsia="it-IT" w:bidi="it-IT"/>
      </w:rPr>
    </w:lvl>
    <w:lvl w:ilvl="1">
      <w:start w:val="0"/>
      <w:numFmt w:val="bullet"/>
      <w:lvlText w:val="•"/>
      <w:lvlJc w:val="left"/>
      <w:pPr>
        <w:ind w:left="1741" w:hanging="360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2643" w:hanging="360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3545" w:hanging="360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4447" w:hanging="360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5349" w:hanging="360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6251" w:hanging="360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7153" w:hanging="360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8055" w:hanging="360"/>
      </w:pPr>
      <w:rPr>
        <w:rFonts w:hint="default"/>
        <w:lang w:val="it-IT" w:eastAsia="it-IT" w:bidi="it-I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12" w:hanging="709"/>
        <w:jc w:val="left"/>
      </w:pPr>
      <w:rPr>
        <w:rFonts w:hint="default" w:ascii="Cambria" w:hAnsi="Cambria" w:eastAsia="Cambria" w:cs="Cambria"/>
        <w:spacing w:val="-3"/>
        <w:w w:val="100"/>
        <w:sz w:val="24"/>
        <w:szCs w:val="24"/>
        <w:lang w:val="it-IT" w:eastAsia="it-IT" w:bidi="it-IT"/>
      </w:rPr>
    </w:lvl>
    <w:lvl w:ilvl="1">
      <w:start w:val="0"/>
      <w:numFmt w:val="bullet"/>
      <w:lvlText w:val="•"/>
      <w:lvlJc w:val="left"/>
      <w:pPr>
        <w:ind w:left="1093" w:hanging="709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2067" w:hanging="709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3041" w:hanging="709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4015" w:hanging="709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4989" w:hanging="709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5963" w:hanging="709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6937" w:hanging="709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7911" w:hanging="709"/>
      </w:pPr>
      <w:rPr>
        <w:rFonts w:hint="default"/>
        <w:lang w:val="it-IT" w:eastAsia="it-IT" w:bidi="it-I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2" w:hanging="25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it-IT" w:eastAsia="it-IT" w:bidi="it-IT"/>
      </w:rPr>
    </w:lvl>
    <w:lvl w:ilvl="1">
      <w:start w:val="0"/>
      <w:numFmt w:val="bullet"/>
      <w:lvlText w:val="•"/>
      <w:lvlJc w:val="left"/>
      <w:pPr>
        <w:ind w:left="1309" w:hanging="250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2259" w:hanging="250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3209" w:hanging="250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4159" w:hanging="250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5109" w:hanging="250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6059" w:hanging="250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7009" w:hanging="250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7959" w:hanging="250"/>
      </w:pPr>
      <w:rPr>
        <w:rFonts w:hint="default"/>
        <w:lang w:val="it-IT" w:eastAsia="it-IT" w:bidi="it-I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t-IT" w:eastAsia="it-IT" w:bidi="it-IT"/>
    </w:rPr>
  </w:style>
  <w:style w:styleId="BodyText" w:type="paragraph">
    <w:name w:val="Body Text"/>
    <w:basedOn w:val="Normal"/>
    <w:uiPriority w:val="1"/>
    <w:qFormat/>
    <w:pPr>
      <w:ind w:left="112"/>
    </w:pPr>
    <w:rPr>
      <w:rFonts w:ascii="Cambria" w:hAnsi="Cambria" w:eastAsia="Cambria" w:cs="Cambria"/>
      <w:sz w:val="24"/>
      <w:szCs w:val="24"/>
      <w:lang w:val="it-IT" w:eastAsia="it-IT" w:bidi="it-IT"/>
    </w:rPr>
  </w:style>
  <w:style w:styleId="Heading1" w:type="paragraph">
    <w:name w:val="Heading 1"/>
    <w:basedOn w:val="Normal"/>
    <w:uiPriority w:val="1"/>
    <w:qFormat/>
    <w:pPr>
      <w:spacing w:line="281" w:lineRule="exact"/>
      <w:ind w:left="362" w:hanging="250"/>
      <w:outlineLvl w:val="1"/>
    </w:pPr>
    <w:rPr>
      <w:rFonts w:ascii="Cambria" w:hAnsi="Cambria" w:eastAsia="Cambria" w:cs="Cambria"/>
      <w:b/>
      <w:bCs/>
      <w:sz w:val="24"/>
      <w:szCs w:val="24"/>
      <w:lang w:val="it-IT" w:eastAsia="it-IT" w:bidi="it-IT"/>
    </w:rPr>
  </w:style>
  <w:style w:styleId="ListParagraph" w:type="paragraph">
    <w:name w:val="List Paragraph"/>
    <w:basedOn w:val="Normal"/>
    <w:uiPriority w:val="1"/>
    <w:qFormat/>
    <w:pPr>
      <w:ind w:left="112" w:hanging="250"/>
    </w:pPr>
    <w:rPr>
      <w:rFonts w:ascii="Cambria" w:hAnsi="Cambria" w:eastAsia="Cambria" w:cs="Cambria"/>
      <w:lang w:val="it-IT" w:eastAsia="it-IT" w:bidi="it-IT"/>
    </w:rPr>
  </w:style>
  <w:style w:styleId="TableParagraph" w:type="paragraph">
    <w:name w:val="Table Paragraph"/>
    <w:basedOn w:val="Normal"/>
    <w:uiPriority w:val="1"/>
    <w:qFormat/>
    <w:pPr/>
    <w:rPr>
      <w:lang w:val="it-IT" w:eastAsia="it-IT" w:bidi="it-I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assistenza.agenziaentrate.gov.it/assistenza/index.asp?idFolder=471&amp;amp;idServ=1" TargetMode="External"/><Relationship Id="rId7" Type="http://schemas.openxmlformats.org/officeDocument/2006/relationships/hyperlink" Target="https://cartadeldocente.istruzione.it/static/Linee%20Guida%20Fatturazione.pdf" TargetMode="External"/><Relationship Id="rId8" Type="http://schemas.openxmlformats.org/officeDocument/2006/relationships/hyperlink" Target="http://www.agid.gov.it/sites/default/files/manuale_operativo_spid.pdf" TargetMode="External"/><Relationship Id="rId9" Type="http://schemas.openxmlformats.org/officeDocument/2006/relationships/hyperlink" Target="http://www.agid.gov.it/sites/default/files/manuale_operativo.pdf" TargetMode="External"/><Relationship Id="rId10" Type="http://schemas.openxmlformats.org/officeDocument/2006/relationships/hyperlink" Target="http://www.sielteid.it/documents/ManualeOperativo.pdf" TargetMode="External"/><Relationship Id="rId11" Type="http://schemas.openxmlformats.org/officeDocument/2006/relationships/hyperlink" Target="http://www.agid.gov.it/sites/default/files/spidprin.tt_.somo15000.00-manuale-operativo-del-servizio-tim-id.pdf" TargetMode="External"/><Relationship Id="rId12" Type="http://schemas.openxmlformats.org/officeDocument/2006/relationships/hyperlink" Target="https://cartadeldocente.istruzione.it/static/cartadeldocente_infoprivacy.pdf" TargetMode="External"/><Relationship Id="rId13" Type="http://schemas.openxmlformats.org/officeDocument/2006/relationships/hyperlink" Target="http://www.gazzettaufficiale.it/eli/id/2016/12/1/16A08470/sg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 Scorza</dc:creator>
  <dcterms:created xsi:type="dcterms:W3CDTF">2018-02-23T10:03:25Z</dcterms:created>
  <dcterms:modified xsi:type="dcterms:W3CDTF">2018-02-23T10:03:25Z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2018-02-23T00:00:00Z</vt:filetime>
  </property>
</Properties>
</file>