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Veille Propriété intellectuelle</w:t>
      </w:r>
    </w:p>
    <w:p>
      <w:pPr>
        <w:spacing w:after="420"/>
        <w:jc w:val="center"/>
      </w:pPr>
      <w:r>
        <w:rPr>
          <w:rFonts w:ascii="Arial" w:cs="Arial" w:eastAsia="Arial" w:hAnsi="Arial"/>
          <w:sz w:val="22"/>
          <w:szCs w:val="22"/>
        </w:rPr>
        <w:t xml:space="preserve">Semaine du 26 août au 1er septembre 2026</w:t>
      </w:r>
    </w:p>
    <w:p>
      <w:pPr>
        <w:pStyle w:val="Heading1"/>
        <w:pBdr>
          <w:bottom w:val="single" w:color="222222" w:sz="6" w:space="6"/>
        </w:pBdr>
        <w:spacing w:after="180" w:before="240"/>
      </w:pPr>
      <w:r>
        <w:rPr>
          <w:b/>
          <w:bCs/>
        </w:rPr>
        <w:t xml:space="preserve">JURISPRUDENCES</w:t>
      </w:r>
    </w:p>
    <w:p>
      <w:pPr>
        <w:pStyle w:val="Heading2"/>
        <w:keepNext/>
        <w:spacing w:after="100" w:before="180"/>
      </w:pPr>
      <w:r>
        <w:rPr>
          <w:b/>
          <w:bCs/>
          <w:u w:val="single"/>
        </w:rPr>
        <w:t xml:space="preserve">Marques – Le Tribunal statue dans l’affaire Barcelona Mediterranean Wine (BARCELONA MEDITERRANEAN WINE)</w:t>
      </w:r>
    </w:p>
    <w:p>
      <w:pPr>
        <w:spacing w:after="240"/>
      </w:pPr>
      <w:hyperlink w:history="1" r:id="rIdnduyrxwc_vwqwh7wxjdlv">
        <w:r>
          <w:rPr>
            <w:color w:val="507D82"/>
            <w:u w:val="single"/>
          </w:rPr>
          <w:t xml:space="preserve">Tribunal de l’Union européenne, ordonnance du 17 août 2026, T-123/26, INAO et Inter-Med / EUIPO – Barcelona Mediterranean Wine (BARCELONA MEDITERRANEAN WINE), ECLI:EU:T:2026:498, 2026-08-17</w:t>
        </w:r>
      </w:hyperlink>
    </w:p>
    <w:p>
      <w:pPr>
        <w:spacing w:after="180" w:line="300"/>
        <w:jc w:val="both"/>
      </w:pPr>
      <w:r>
        <w:t xml:space="preserve">La source institutionnelle consultée identifie une ordonnance du Tribunal de l’Union européenne rendue le 17 août 2026 dans l’affaire T-123/26, intitulée INAO et Inter-Med / EUIPO – Barcelona Mediterranean Wine (BARCELONA MEDITERRANEAN WINE), sous l’ECLI EU:T:2026:498. Elle confirme ainsi l’existence, la date, la juridiction, les parties désignées et la nature de la décision. En revanche, l’URL communiquée renvoie vers une interface InfoCuria ne donnant pas accès, dans les conditions de consultation disponibles, au texte de l’ordonnance ni à une fiche documentaire contenant ses motifs, son dispositif ou les données procédurales utiles. Il n’est dès lors pas possible de rédiger une analyse jurisprudentielle de fond, de 650 à 900 mots, exclusivement à partir d’informations vérifiables, sans suppléer par des hypothèses au contenu du document primaire. ([curia.europa.eu](https://curia.europa.eu/site/plugins/CURIA2MainPlugin/types/MultilingualShortcut/processExternalMultilingualShortcut.jsp?pubId=1037304_MultilingualShortcut&amp;utm_source=openai))</w:t>
      </w:r>
    </w:p>
    <w:p>
      <w:pPr>
        <w:spacing w:after="180" w:line="300"/>
        <w:jc w:val="both"/>
      </w:pPr>
      <w:r>
        <w:t xml:space="preserve">Les faits à l’origine du recours ne sont pas précisés dans le résultat institutionnel accessible. L’intitulé de l’affaire permet seulement d’établir que l’INAO et Inter-Med sont désignés conjointement comme requérants face à l’EUIPO, Barcelona Mediterranean Wine étant mentionnée dans le titre de l’affaire. Il ne permet pas d’identifier avec certitude la procédure administrative antérieure, la marque de l’Union concernée, les produits et services visés, la décision de l’EUIPO attaquée, la chambre de recours éventuellement saisie, ni la date d’introduction du recours. La qualification de l’affaire dans la catégorie des marques ne saurait, à elle seule, permettre de reconstituer ces éléments.</w:t>
      </w:r>
    </w:p>
    <w:p>
      <w:pPr>
        <w:spacing w:after="180" w:line="300"/>
        <w:jc w:val="both"/>
      </w:pPr>
      <w:r>
        <w:t xml:space="preserve">Les moyens invoqués par l’INAO et Inter-Med, les demandes présentées devant le Tribunal, les observations de l’EUIPO et la position de Barcelona Mediterranean Wine ne sont pas accessibles dans la source institutionnelle consultée. Il n’est notamment pas possible de déterminer si le litige portait sur un motif absolu ou relatif de refus ou de nullité, sur l’usage d’une indication géographique, sur le caractère descriptif ou trompeur d’un signe, sur un risque de confusion, ou sur toute autre question relevant du droit des marques de l’Union. Aucun argument ne peut donc être attribué aux parties.</w:t>
      </w:r>
    </w:p>
    <w:p>
      <w:pPr>
        <w:spacing w:after="180" w:line="300"/>
        <w:jc w:val="both"/>
      </w:pPr>
      <w:r>
        <w:t xml:space="preserve">La question de droit n’est pas précisée dans le document institutionnel accessible. Une formulation explicite de cette question supposerait de connaître au minimum la décision de l’EUIPO contestée, les moyens du recours et les motifs retenus par le Tribunal. Ces informations ne figurent pas dans le résultat de recherche disponible ; toute formulation substantielle serait spéculative.</w:t>
      </w:r>
    </w:p>
    <w:p>
      <w:pPr>
        <w:spacing w:after="180" w:line="300"/>
        <w:jc w:val="both"/>
      </w:pPr>
      <w:r>
        <w:t xml:space="preserve">Le résultat InfoCuria confirme que le Tribunal a rendu une ordonnance, et non un arrêt, le 17 août 2026. Toutefois, il ne reproduit aucun considérant et ne donne aucune indication sur le fondement procédural ou matériel de cette ordonnance. En particulier, il n’est pas possible d’établir si le Tribunal a statué sur la recevabilité du recours, sur un désistement, sur un non-lieu à statuer, sur les dépens, ou sur le bien-fondé des griefs soulevés contre une décision de l’EUIPO. Il ne peut pas davantage être déterminé si le Tribunal a appliqué le règlement (UE) 2017/1001, un régime européen de protection des indications géographiques, ou une autre norme pertinente. L’analyse du raisonnement juridictionnel est donc impossible sur une base documentaire vérifiable.</w:t>
      </w:r>
    </w:p>
    <w:p>
      <w:pPr>
        <w:spacing w:after="180" w:line="300"/>
        <w:jc w:val="both"/>
      </w:pPr>
      <w:r>
        <w:t xml:space="preserve">La seule solution vérifiable est l’existence d’une ordonnance rendue par le Tribunal le 17 août 2026 dans l’affaire T-123/26, ECLI:EU:T:2026:498. Le sens exact de cette ordonnance, son éventuel dispositif, le sort réservé au recours et la répartition des dépens ne sont pas précisés dans la source consultée. ([curia.europa.eu](https://curia.europa.eu/site/plugins/CURIA2MainPlugin/types/MultilingualShortcut/processExternalMultilingualShortcut.jsp?pubId=1037304_MultilingualShortcut&amp;utm_source=openai))</w:t>
      </w:r>
    </w:p>
    <w:p>
      <w:pPr>
        <w:pBdr>
          <w:left w:val="single" w:color="507D82" w:sz="10" w:space="8"/>
        </w:pBdr>
        <w:spacing w:after="260" w:before="80"/>
        <w:ind w:left="180"/>
        <w:jc w:val="both"/>
      </w:pPr>
      <w:r>
        <w:rPr>
          <w:b/>
          <w:bCs/>
        </w:rPr>
        <w:t xml:space="preserve">Portée pratique. </w:t>
      </w:r>
      <w:r>
        <w:t xml:space="preserve">Aucune portée pratique précise ne peut être dégagée sans accès au texte intégral ou à une fiche décisionnelle détaillée. La référence appelle une vérification ultérieure sur un document primaire directement téléchargeable depuis Curia, afin d’identifier la décision de l’EUIPO en cause, la règle de droit appliquée, les motifs de l’ordonnance et son dispositif. Jusqu’à cette vérification, cette affaire ne doit pas être présentée comme une décision établissant ou confirmant une solution en droit des marques.</w:t>
      </w:r>
    </w:p>
    <w:p>
      <w:pPr>
        <w:pStyle w:val="Heading1"/>
        <w:pBdr>
          <w:bottom w:val="single" w:color="222222" w:sz="6" w:space="6"/>
        </w:pBdr>
        <w:spacing w:after="180" w:before="300"/>
      </w:pPr>
      <w:r>
        <w:rPr>
          <w:b/>
          <w:bCs/>
        </w:rPr>
        <w:t xml:space="preserve">ACTUALITÉS</w:t>
      </w:r>
    </w:p>
    <w:p>
      <w:pPr>
        <w:pStyle w:val="Heading2"/>
        <w:keepNext/>
        <w:spacing w:after="100" w:before="180"/>
      </w:pPr>
      <w:r>
        <w:rPr>
          <w:b/>
          <w:bCs/>
          <w:u w:val="single"/>
        </w:rPr>
        <w:t xml:space="preserve">Journal officiel de l’EUIPO : nouvelles décisions relatives aux bulletins, registres, documents de priorité et lignes directrices d’examen</w:t>
      </w:r>
    </w:p>
    <w:p>
      <w:pPr>
        <w:spacing w:after="240"/>
      </w:pPr>
      <w:hyperlink w:history="1" r:id="rIdt2un--fe9flgocnu_rqt2">
        <w:r>
          <w:rPr>
            <w:color w:val="507D82"/>
            <w:u w:val="single"/>
          </w:rPr>
          <w:t xml:space="preserve">Décisions EX 26 06, EX 26 07, EX 26 08 et EX 26 09 de l’EUIPO, 2026-08-03</w:t>
        </w:r>
      </w:hyperlink>
    </w:p>
    <w:p>
      <w:pPr>
        <w:spacing w:after="180" w:line="300"/>
        <w:jc w:val="both"/>
      </w:pPr>
      <w:r>
        <w:t xml:space="preserve">Dans le contexte de l’entrée en application du nouveau cadre réglementaire des dessins ou modèles de l’Union européenne, l’EUIPO a publié au Journal officiel du 3 août 2026 les décisions EX-26-06, EX-26-07 et EX-26-08, toutes datées du 8 juin 2026, ainsi que la décision EX-26-09 du 30 juin 2026. Ces textes, entrés en vigueur le 1er juillet 2026, remplacent ou actualisent plusieurs décisions antérieures afin d’aligner la pratique administrative, la terminologie et les références juridiques de l’Office sur le règlement (UE) 2026/715 relatif aux dessins ou modèles de l’Union européenne. ([euipo.europa.eu](https://www.euipo.europa.eu/fr/law/communications-and-decisions-ed/official-journal?utm_source=openai))</w:t>
      </w:r>
    </w:p>
    <w:p>
      <w:pPr>
        <w:spacing w:after="180" w:line="300"/>
        <w:jc w:val="both"/>
      </w:pPr>
      <w:r>
        <w:t xml:space="preserve">La décision EX-26-06 encadre la publication du Bulletin des marques de l’Union européenne et du Bulletin des dessins ou modèles de l’Union européenne. Les deux bulletins sont disponibles sous forme électronique, gratuitement et en ligne ; ils sont publiés chaque jour d’ouverture de l’Office, sauf difficulté technique exceptionnelle. Les éditions à compter du premier bulletin de 2006 sont consultables sans demande préalable ; les éditions antérieures ne sont accessibles que sur demande. La décision abroge la décision EX-18-3. ([euipo.europa.eu](https://euipo.europa.eu/tunnel-web/secure/webdav/guest/document_library/contentPdfs/law_and_practice/decisions_president/EX-26-6_en.pdf))</w:t>
      </w:r>
    </w:p>
    <w:p>
      <w:pPr>
        <w:spacing w:after="180" w:line="300"/>
        <w:jc w:val="both"/>
      </w:pPr>
      <w:r>
        <w:t xml:space="preserve">Sans objet : il ne s’agit pas d’une procédure contentieuse ni d’une décision rendue entre parties.</w:t>
      </w:r>
    </w:p>
    <w:p>
      <w:pPr>
        <w:spacing w:after="180" w:line="300"/>
        <w:jc w:val="both"/>
      </w:pPr>
      <w:r>
        <w:t xml:space="preserve">Sans objet. Les décisions analysées déterminent des modalités d’organisation, d’accès à l’information et de pratique administrative de l’EUIPO.</w:t>
      </w:r>
    </w:p>
    <w:p>
      <w:pPr>
        <w:spacing w:after="180" w:line="300"/>
        <w:jc w:val="both"/>
      </w:pPr>
      <w:r>
        <w:t xml:space="preserve">La décision EX-26-07 distingue le registre électronique, qui constitue le relevé officiel des inscriptions, de la base de données relative aux titres et procédures. Les inscriptions concernant une marque deviennent accessibles dès que la demande est réputée déposée ; celles concernant un dessin ou modèle le deviennent à compter de son enregistrement. Les dessins ou modèles faisant l’objet d’un ajournement de publication restent toutefois exclus de l’accès public jusqu’à leur publication. Les extraits certifiés des registres peuvent être téléchargés sans frais depuis l’espace utilisateur. La décision prévoit également des inscriptions protectrices liées notamment à des mesures restrictives ou au gel d’un droit, ainsi que les conditions de diffusion des données et de la base de jurisprudence. ([euipo.europa.eu](https://euipo.europa.eu/tunnel-web/secure/webdav/guest/document_library/contentPdfs/law_and_practice/decisions_president/EX-26-7_en.pdf)) La décision EX-26-08 simplifie la preuve de priorité pour les dessins ou modèles enregistrés de l’Union : lorsque la documentation est disponible via le service DAS de l’OMPI, le demandeur peut fournir le code d’accès DAS et les données d’identification de la demande antérieure ; l’Office récupère alors le document et l’intègre au dossier. ([euipo.europa.eu](https://euipo.europa.eu/tunnel-web/secure/webdav/guest/document_library/contentPdfs/law_and_practice/decisions_president/EX-26-8_en.pdf)) Enfin, la décision EX-26-09 adopte l’édition 2026 des directives d’examen, lesquelles constituent des règles de conduite administrative et non des actes législatifs. Elles sont applicables depuis le 1er juillet 2026. ([guidelines.euipo.europa.eu](https://guidelines.euipo.europa.eu/2318651/2445755/designs-guidelines/1-introduction?utm_source=openai))</w:t>
      </w:r>
    </w:p>
    <w:p>
      <w:pPr>
        <w:spacing w:after="180" w:line="300"/>
        <w:jc w:val="both"/>
      </w:pPr>
      <w:r>
        <w:t xml:space="preserve">Les décisions EX-26-06, EX-26-07 et EX-26-08 abrogent respectivement les décisions EX-18-3, EX-25-5 et EX-20-7. L’édition 2026 des directives, adoptée par la décision EX-26-09, remplace la pratique antérieure dans les domaines concernés. La publication au Journal officiel du 3 août 2026 assure leur publicité institutionnelle. ([euipo.europa.eu](https://euipo.europa.eu/tunnel-web/secure/webdav/guest/document_library/contentPdfs/law_and_practice/decisions_president/EX-26-6_en.pdf))</w:t>
      </w:r>
    </w:p>
    <w:p>
      <w:pPr>
        <w:pBdr>
          <w:left w:val="single" w:color="507D82" w:sz="10" w:space="8"/>
        </w:pBdr>
        <w:spacing w:after="260" w:before="80"/>
        <w:ind w:left="180"/>
        <w:jc w:val="both"/>
      </w:pPr>
      <w:r>
        <w:rPr>
          <w:b/>
          <w:bCs/>
        </w:rPr>
        <w:t xml:space="preserve">Portée pratique. </w:t>
      </w:r>
      <w:r>
        <w:t xml:space="preserve">Les titulaires et conseils doivent intégrer ces évolutions dans la gestion des portefeuilles de marques et de dessins ou modèles. En particulier, les revendications de priorité de dessins ou modèles peuvent désormais être documentées au moyen du mécanisme DAS lorsque les conditions prévues sont réunies. La consultation du registre électronique et le téléchargement d’extraits certifiés deviennent les voies ordinaires d’accès aux informations officielles. Les praticiens doivent également appliquer l’édition 2026 des directives, notamment pour les exigences de représentation des dessins ou modèles, les procédures de nullité et les formalités électroniques devant l’EUIPO. ([euipo.europa.eu](https://euipo.europa.eu/tunnel-web/secure/webdav/guest/document_library/contentPdfs/law_and_practice/decisions_president/EX-26-7_en.pdf))</w:t>
      </w:r>
    </w:p>
    <w:p>
      <w:pPr>
        <w:pStyle w:val="Heading2"/>
        <w:keepNext/>
        <w:spacing w:after="100" w:before="180"/>
      </w:pPr>
      <w:r>
        <w:rPr>
          <w:b/>
          <w:bCs/>
          <w:u w:val="single"/>
        </w:rPr>
        <w:t xml:space="preserve">Les Bahamas adhèrent au Traité de coopération en matière de brevets</w:t>
      </w:r>
    </w:p>
    <w:p>
      <w:pPr>
        <w:spacing w:after="240"/>
      </w:pPr>
      <w:hyperlink w:history="1" r:id="rIdlvh_l5fch9jzuiywobqoj">
        <w:r>
          <w:rPr>
            <w:color w:val="507D82"/>
            <w:u w:val="single"/>
          </w:rPr>
          <w:t xml:space="preserve">Notification PCT n° 227 — Adhésion du Commonwealth des Bahamas ; entrée en vigueur le 19 août 2026, 2026-05-19</w:t>
        </w:r>
      </w:hyperlink>
    </w:p>
    <w:p>
      <w:pPr>
        <w:spacing w:after="180" w:line="300"/>
        <w:jc w:val="both"/>
      </w:pPr>
      <w:r>
        <w:t xml:space="preserve">Le Directeur général de l’OMPI a notifié, le 19 mai 2026, le dépôt par le Gouvernement du Commonwealth des Bahamas de son instrument d’adhésion au Traité de coopération en matière de brevets, signé à Washington le 19 juin 1970 et ultérieurement amendé et modifié. L’entrée en vigueur du Traité à l’égard des Bahamas est intervenue le 19 août 2026. Cette adhésion porte à 159 le nombre des États membres de l’Union du PCT.</w:t>
      </w:r>
    </w:p>
    <w:p>
      <w:pPr>
        <w:spacing w:after="180" w:line="300"/>
        <w:jc w:val="both"/>
      </w:pPr>
      <w:r>
        <w:t xml:space="preserve">L’actualité résulte d’un acte conventionnel international et non d’une procédure contentieuse. Les Bahamas ont déposé leur instrument d’adhésion auprès de l’OMPI le 19 mai 2026. La notification PCT n° 227 précise que cet instrument comportait une déclaration formulée sur le fondement de l’article 64(5) du PCT.</w:t>
      </w:r>
    </w:p>
    <w:p>
      <w:pPr>
        <w:spacing w:after="180" w:line="300"/>
        <w:jc w:val="both"/>
      </w:pPr>
      <w:r>
        <w:t xml:space="preserve">Sans objet. La notification institutionnelle ne fait état ni de parties opposées ni d’arguments, l’adhésion procédant du dépôt d’un instrument par le Gouvernement du Commonwealth des Bahamas.</w:t>
      </w:r>
    </w:p>
    <w:p>
      <w:pPr>
        <w:spacing w:after="180" w:line="300"/>
        <w:jc w:val="both"/>
      </w:pPr>
      <w:r>
        <w:t xml:space="preserve">Sans objet. Le document ne tranche aucune question de droit contentieuse ; il constate le dépôt de l’instrument d’adhésion et fixe les effets de cette adhésion dans l’ordre conventionnel du PCT.</w:t>
      </w:r>
    </w:p>
    <w:p>
      <w:pPr>
        <w:spacing w:after="180" w:line="300"/>
        <w:jc w:val="both"/>
      </w:pPr>
      <w:r>
        <w:t xml:space="preserve">La notification de l’OMPI constate que les conditions formelles de l’adhésion ont été réalisées par le dépôt de l’instrument pertinent. Elle en déduit l’entrée en vigueur du PCT pour les Bahamas le 19 août 2026. Elle relève également la déclaration selon laquelle les Bahamas ne se considèrent pas liées par l’article 59 du PCT, conformément à l’article 64(5) de ce Traité.</w:t>
      </w:r>
    </w:p>
    <w:p>
      <w:pPr>
        <w:spacing w:after="180" w:line="300"/>
        <w:jc w:val="both"/>
      </w:pPr>
      <w:r>
        <w:t xml:space="preserve">Depuis le 19 août 2026, les Bahamas constituent un État contractant du PCT. Les déposants nationaux ou résidents des Bahamas peuvent utiliser la procédure internationale du PCT pour solliciter une protection dans les États contractants désignés. Réciproquement, les déposants étrangers peuvent désigner les Bahamas dans une demande internationale afin d’y poursuivre la protection de leur invention à l’entrée en phase nationale. Le Guide du déposant PCT indique que l’Office international de l’OMPI est l’office récepteur compétent pour les déposants bahamiens et que l’office des Bahamas est l’office désigné ou élu compétent.</w:t>
      </w:r>
    </w:p>
    <w:p>
      <w:pPr>
        <w:pBdr>
          <w:left w:val="single" w:color="507D82" w:sz="10" w:space="8"/>
        </w:pBdr>
        <w:spacing w:after="260" w:before="80"/>
        <w:ind w:left="180"/>
        <w:jc w:val="both"/>
      </w:pPr>
      <w:r>
        <w:rPr>
          <w:b/>
          <w:bCs/>
        </w:rPr>
        <w:t xml:space="preserve">Portée pratique. </w:t>
      </w:r>
      <w:r>
        <w:t xml:space="preserve">Pour les titulaires de portefeuilles de brevets et les conseils, les Bahamas doivent désormais être intégrées aux stratégies de désignation PCT lorsque ce territoire présente un intérêt commercial ou défensif. L’adhésion ne confère toutefois pas un brevet unitaire ou automatique : la protection demeure subordonnée aux formalités et exigences applicables lors de l’entrée en phase nationale. À la date de mise à jour du Guide du déposant applicable au 19 août 2026, certaines informations nationales, notamment celles relatives aux exigences d’entrée en phase nationale, aux taxes et aux formulaires, ne sont pas encore disponibles. Une vérification du Guide du déposant PCT et des avis officiels de l’OMPI demeure donc nécessaire avant toute désignation ou décision d’entrée en phase nationale.</w:t>
      </w:r>
    </w:p>
    <w:p>
      <w:pPr>
        <w:pStyle w:val="Heading2"/>
        <w:keepNext/>
        <w:spacing w:after="100" w:before="180"/>
      </w:pPr>
      <w:r>
        <w:rPr>
          <w:b/>
          <w:bCs/>
          <w:u w:val="single"/>
        </w:rPr>
        <w:t xml:space="preserve">Séisme en Colombie : l’OEB précise les recours en cas de non-respect des délais</w:t>
      </w:r>
    </w:p>
    <w:p>
      <w:pPr>
        <w:spacing w:after="240"/>
      </w:pPr>
      <w:hyperlink w:history="1" r:id="rIdyek2n9wg8um_qhq5nxq48">
        <w:r>
          <w:rPr>
            <w:color w:val="507D82"/>
            <w:u w:val="single"/>
          </w:rPr>
          <w:t xml:space="preserve">JO OEB 2026, A39 — Notice de l’Office européen des brevets du 19 août 2026 concernant l’application de la règle 134(5) CBE après le séisme survenu en Colombie le 10 août 2026, 2026-08-31</w:t>
        </w:r>
      </w:hyperlink>
    </w:p>
    <w:p>
      <w:pPr>
        <w:spacing w:after="180" w:line="300"/>
        <w:jc w:val="both"/>
      </w:pPr>
      <w:r>
        <w:t xml:space="preserve">À la suite du séisme intervenu en Colombie le 10 août 2026, l’Office européen des brevets a publié une notice rappelant les voies de recours ouvertes lorsque cet événement exceptionnel a empêché le respect d’un délai vis-à-vis de l’OEB. La notice, datée du 19 août 2026 et publiée en ligne le 31 août 2026, couvre les procédures relevant de la CBE, de la réglementation relative à la protection unitaire et du PCT.</w:t>
      </w:r>
    </w:p>
    <w:p>
      <w:pPr>
        <w:spacing w:after="180" w:line="300"/>
        <w:jc w:val="both"/>
      </w:pPr>
      <w:r>
        <w:t xml:space="preserve">La notice ne constate pas une prorogation générale des délais. Elle attire l’attention des demandeurs, parties aux procédures et mandataires affectés sur les mécanismes de sauvegarde existants. Pour les procédures CBE, l’OEB vise la règle 134(5) CBE, applicable lorsqu’un retard résulte d’une perturbation dans l’acheminement ou la transmission du courrier causée par un événement exceptionnel affectant le lieu de résidence ou le siège de l’intéressé.</w:t>
      </w:r>
    </w:p>
    <w:p>
      <w:pPr>
        <w:spacing w:after="180" w:line="300"/>
        <w:jc w:val="both"/>
      </w:pPr>
      <w:r>
        <w:t xml:space="preserve">Aucun litige, aucune partie et aucun argument contradictoire ne sont précisés, la publication constituant une information institutionnelle de portée générale.</w:t>
      </w:r>
    </w:p>
    <w:p>
      <w:pPr>
        <w:spacing w:after="180" w:line="300"/>
        <w:jc w:val="both"/>
      </w:pPr>
      <w:r>
        <w:t xml:space="preserve">La notice précise les conditions dans lesquelles un retard directement lié au séisme peut être neutralisé dans les procédures devant l’OEB.</w:t>
      </w:r>
    </w:p>
    <w:p>
      <w:pPr>
        <w:spacing w:after="180" w:line="300"/>
        <w:jc w:val="both"/>
      </w:pPr>
      <w:r>
        <w:t xml:space="preserve">Au titre de la règle 134(5) CBE, un document reçu tardivement est réputé reçu dans le délai si l’intéressé établit qu’il n’a pas été possible de respecter celui-ci, à un jour quelconque des dix jours précédant son expiration, en raison de l’événement exceptionnel. Il doit également démontrer que l’envoi ou la transmission a été effectué au plus tard le cinquième jour suivant la fin de la perturbation. Ces conditions supposent donc une appréciation individualisée et la production d’éléments de preuve.</w:t>
      </w:r>
    </w:p>
    <w:p>
      <w:pPr>
        <w:spacing w:after="180" w:line="300"/>
        <w:jc w:val="both"/>
      </w:pPr>
      <w:r>
        <w:t xml:space="preserve">L’OEB confirme que la règle 134(5) CBE peut être invoquée par les demandeurs, parties et mandataires affectés en Colombie. Cette règle s’applique mutatis mutandis aux procédures relatives aux brevets européens à effet unitaire, conformément à la règle 20(2)(g) du règlement d’application relatif à la protection unitaire.</w:t>
      </w:r>
    </w:p>
    <w:p>
      <w:pPr>
        <w:pBdr>
          <w:left w:val="single" w:color="507D82" w:sz="10" w:space="8"/>
        </w:pBdr>
        <w:spacing w:after="260" w:before="80"/>
        <w:ind w:left="180"/>
        <w:jc w:val="both"/>
      </w:pPr>
      <w:r>
        <w:rPr>
          <w:b/>
          <w:bCs/>
        </w:rPr>
        <w:t xml:space="preserve">Portée pratique. </w:t>
      </w:r>
      <w:r>
        <w:t xml:space="preserve">Les titulaires de portefeuilles et leurs conseils doivent identifier sans délai les échéances concernées, conserver les preuves de l’empêchement et documenter la date de cessation de la perturbation ainsi que celle de la transmission. En phase internationale, la règle 82quater.1 PCT régit les délais et conditions applicables. Elle ne couvre pas le délai de revendication de priorité ; l’OEB rappelle toutefois que la restauration du droit de priorité au titre de la règle 26bis.3 PCT peut, le cas échéant, être envisagée.</w:t>
      </w:r>
    </w:p>
    <w:p>
      <w:pPr>
        <w:pStyle w:val="Heading2"/>
        <w:keepNext/>
        <w:spacing w:after="100" w:before="180"/>
      </w:pPr>
      <w:r>
        <w:rPr>
          <w:b/>
          <w:bCs/>
          <w:u w:val="single"/>
        </w:rPr>
        <w:t xml:space="preserve">Le CSPLA poursuit ses travaux sur la loi applicable à l’entraînement des modèles d’IA générative et sur les œuvres générées par IA</w:t>
      </w:r>
    </w:p>
    <w:p>
      <w:pPr>
        <w:spacing w:after="240"/>
      </w:pPr>
      <w:hyperlink w:history="1" r:id="rIdqmubnznqwey87vgupdrs8">
        <w:r>
          <w:rPr>
            <w:color w:val="507D82"/>
            <w:u w:val="single"/>
          </w:rPr>
          <w:t xml:space="preserve">Compte rendu provisoire de la séance plénière du CSPLA du 15 décembre 2025, 2026-08-07</w:t>
        </w:r>
      </w:hyperlink>
    </w:p>
    <w:p>
      <w:pPr>
        <w:spacing w:after="180" w:line="300"/>
        <w:jc w:val="both"/>
      </w:pPr>
      <w:r>
        <w:t xml:space="preserve">Publié le 7 août 2026, le compte rendu, expressément qualifié de version provisoire, restitue les échanges intervenus lors de la séance plénière du CSPLA du 15 décembre 2025. La séance a notamment porté sur la détermination de la loi applicable aux reproductions réalisées pour l’entraînement de modèles d’IA générative commercialisés dans l’Union européenne, ainsi que sur l’état d’avancement de missions relatives aux contenus générés avec l’IA et à l’attribution des œuvres et prestations artistiques. ([culture.gouv.fr](https://www.culture.gouv.fr/nous-connaitre/organisation-du-ministere/conseil-superieur-de-la-propriete-litteraire-et-artistique-cspla/travaux-et-publications-du-cspla/seances-plenieres-du-cspla/seances-plenieres-du-cspla-2025))</w:t>
      </w:r>
    </w:p>
    <w:p>
      <w:pPr>
        <w:spacing w:after="180" w:line="300"/>
        <w:jc w:val="both"/>
      </w:pPr>
      <w:r>
        <w:t xml:space="preserve">Les travaux de Tristan Azzi et Yves El Hage portent sur plusieurs volets de droit international privé, comprenant la compétence juridictionnelle, la loi applicable aux contenus générés par IA et à leur exploitation, mais la présentation du 15 décembre 2025 est concentrée sur les reproductions d’œuvres et d’objets protégés réalisées aux fins d’entraînement des modèles. Alexandra Bensamoun et Julie Groffe-Charrier conduisent, depuis l’été 2025, une mission sur le statut des contenus générés avec l’IA. Une mission distincte, engagée en juin 2025 et confiée à Valérie-Laure Benabou et Séverine Dusollier, examine les mécanismes d’attribution des œuvres, contenus et prestations. ([culture.gouv.fr](https://www.culture.gouv.fr/mc/content/download/393318/pdf_file/CSPLA%20-%20CR%20s%C3%A9ance%2015.12.2025%20%284%29.pdf?inLanguage=fre-FR&amp;version=1))</w:t>
      </w:r>
    </w:p>
    <w:p>
      <w:pPr>
        <w:spacing w:after="180" w:line="300"/>
        <w:jc w:val="both"/>
      </w:pPr>
      <w:r>
        <w:t xml:space="preserve">Le compte rendu rapporte, d’une part, la thèse de certains opérateurs selon laquelle les actes de reproduction nécessaires à l’entraînement seraient autonomes et devraient relever de la loi du lieu matériel de leur accomplissement. D’autre part, les auteurs du rapport relèvent les difficultés pratiques considérables d’identification de ce lieu, compte tenu de la distribution des opérations entre infrastructures et territoires. Dans les travaux sur les contenus générés, les contributions recueillies, dont certaines sont confidentielles, font apparaître la nécessité de distinguer les créations assistées par IA, celles générées avec son concours et les contenus entièrement générés, provisoirement qualifiés de contenus synthétiques. ([culture.gouv.fr](https://www.culture.gouv.fr/mc/content/download/393318/pdf_file/CSPLA%20-%20CR%20s%C3%A9ance%2015.12.2025%20%284%29.pdf?inLanguage=fre-FR&amp;version=1))</w:t>
      </w:r>
    </w:p>
    <w:p>
      <w:pPr>
        <w:spacing w:after="180" w:line="300"/>
        <w:jc w:val="both"/>
      </w:pPr>
      <w:r>
        <w:t xml:space="preserve">La question étudiée consiste à déterminer, au regard des règles de droit international privé, quelle loi régit les reproductions d’œuvres ou d’objets protégés effectuées pour entraîner un modèle d’IA générative lorsque ce modèle est commercialisé et utilisé dans un ou plusieurs États de l’Union européenne. Les missions en cours soulèvent parallèlement la question des conditions dans lesquelles l’intervention d’un outil d’IA affecte l’accès d’une création au droit d’auteur et celle de la fiabilité des mécanismes permettant d’identifier les contributeurs humains.</w:t>
      </w:r>
    </w:p>
    <w:p>
      <w:pPr>
        <w:spacing w:after="180" w:line="300"/>
        <w:jc w:val="both"/>
      </w:pPr>
      <w:r>
        <w:t xml:space="preserve">Le rapport présenté au CSPLA retient comme point de départ la lex loci protectionis, visée notamment par l’article 5, paragraphe 2, de la Convention de Berne et l’article 8, paragraphe 1, du règlement Rome II. Il assimile la relation entre l’entraînement et l’exploitation du modèle à un délit complexe : l’input constitue le fait générateur, tandis que l’output correspond à la réalisation du dommage. Il en déduit que la loi applicable à l’entraînement est celle du ou des marchés effectivement ciblés, où le modèle est commercialisé et utilisé. L’article 53 et le considérant 106 du règlement européen sur l’IA conforteraient cette lecture, sans constituer à eux seuls une règle de conflit autonome. À titre subsidiaire, le rapport évoque l’éventuelle mobilisation des lois de police et de l’ordre public international. ([culture.gouv.fr](https://www.culture.gouv.fr/mc/content/download/393318/pdf_file/CSPLA%20-%20CR%20s%C3%A9ance%2015.12.2025%20%284%29.pdf?inLanguage=fre-FR&amp;version=1))</w:t>
      </w:r>
    </w:p>
    <w:p>
      <w:pPr>
        <w:spacing w:after="180" w:line="300"/>
        <w:jc w:val="both"/>
      </w:pPr>
      <w:r>
        <w:t xml:space="preserve">Il ne s’agit ni d’une décision juridictionnelle ni de recommandations définitives du CSPLA. Le rapport de mission privilégie néanmoins l’application de la loi du pays de commercialisation et d’utilisation du modèle aux opérations d’entraînement, plutôt que celle du lieu technique de reproduction. Concernant les contenus générés avec l’IA, les travaux restent au stade de l’analyse des contributions, des auditions et de la qualification des productions. S’agissant de l’attribution, la mission demeure exploratoire et n’a pas arrêté de structure définitive de rapport. ([culture.gouv.fr](https://www.culture.gouv.fr/mc/content/download/393318/pdf_file/CSPLA%20-%20CR%20s%C3%A9ance%2015.12.2025%20%284%29.pdf?inLanguage=fre-FR&amp;version=1))</w:t>
      </w:r>
    </w:p>
    <w:p>
      <w:pPr>
        <w:pBdr>
          <w:left w:val="single" w:color="507D82" w:sz="10" w:space="8"/>
        </w:pBdr>
        <w:spacing w:after="260" w:before="80"/>
        <w:ind w:left="180"/>
        <w:jc w:val="both"/>
      </w:pPr>
      <w:r>
        <w:rPr>
          <w:b/>
          <w:bCs/>
        </w:rPr>
        <w:t xml:space="preserve">Portée pratique. </w:t>
      </w:r>
      <w:r>
        <w:t xml:space="preserve">Pour les fournisseurs de modèles visant le marché français ou d’autres marchés de l’Union, cette analyse renforce le risque que les opérations d’entraînement soient appréciées au regard de la loi des territoires ciblés, même lorsque l’infrastructure technique est située hors de l’Union. Pour les titulaires de droits, elle offre un cadre argumentatif en faveur de l’effectivité territoriale des règles européennes de droit d’auteur. Les entreprises utilisant l’IA dans leurs processus créatifs devront également suivre les travaux relatifs à l’originalité, à la contrefaçon en aval, aux droits de la personnalité et à la traçabilité des contributions au moyen de métadonnées et de crédits. ([culture.gouv.fr](https://www.culture.gouv.fr/mc/content/download/393318/pdf_file/CSPLA%20-%20CR%20s%C3%A9ance%2015.12.2025%20%284%29.pdf?inLanguage=fre-FR&amp;version=1))</w:t>
      </w:r>
    </w:p>
    <w:p>
      <w:pPr>
        <w:pStyle w:val="Heading2"/>
        <w:keepNext/>
        <w:spacing w:after="100" w:before="180"/>
      </w:pPr>
      <w:r>
        <w:rPr>
          <w:b/>
          <w:bCs/>
          <w:u w:val="single"/>
        </w:rPr>
        <w:t xml:space="preserve">Réforme européenne des dessins et modèles : fichiers 3D, animations et interfaces numériques</w:t>
      </w:r>
    </w:p>
    <w:p>
      <w:pPr>
        <w:spacing w:after="240"/>
      </w:pPr>
      <w:hyperlink w:history="1" r:id="rIdhpetoaqajcvezg66y1d5i">
        <w:r>
          <w:rPr>
            <w:color w:val="507D82"/>
            <w:u w:val="single"/>
          </w:rPr>
          <w:t xml:space="preserve">Décision nº EX-26-03 du directeur exécutif de l’EUIPO du 8 juin 2026, relative à la communication par voie électronique, entrée en vigueur le 1er juillet 2026., 2026-08-03</w:t>
        </w:r>
      </w:hyperlink>
    </w:p>
    <w:p>
      <w:pPr>
        <w:spacing w:after="180" w:line="300"/>
        <w:jc w:val="both"/>
      </w:pPr>
      <w:r>
        <w:t xml:space="preserve">La réforme du cadre européen des dessins et modèles, pleinement applicable à l’EUIPO depuis le 1er juillet 2026, adapte les modalités de représentation aux créations numériques. Elle accompagne l’extension du champ des dessins et modèles aux caractéristiques animées, mobiles ou transitionnelles et à des produits non matériels, parmi lesquels figurent notamment les interfaces graphiques. La décision nº EX-26-03 fixe les conditions techniques de dépôt électronique applicables aux dessins ou modèles de l’Union européenne.</w:t>
      </w:r>
    </w:p>
    <w:p>
      <w:pPr>
        <w:spacing w:after="180" w:line="300"/>
        <w:jc w:val="both"/>
      </w:pPr>
      <w:r>
        <w:t xml:space="preserve">Il ne s’agit pas d’un contentieux. La décision du directeur exécutif de l’EUIPO est adoptée sur le fondement, notamment, de l’article 42, paragraphe 5, du règlement sur les dessins et modèles de l’Union européenne. Elle organise la communication électronique avec l’Office et précise les formats, tailles et caractéristiques techniques des fichiers déposés comme représentation d’un dessin ou modèle.</w:t>
      </w:r>
    </w:p>
    <w:p>
      <w:pPr>
        <w:spacing w:after="180" w:line="300"/>
        <w:jc w:val="both"/>
      </w:pPr>
      <w:r>
        <w:t xml:space="preserve">Sans objet, la mesure étant de nature réglementaire et administrative.</w:t>
      </w:r>
    </w:p>
    <w:p>
      <w:pPr>
        <w:spacing w:after="180" w:line="300"/>
        <w:jc w:val="both"/>
      </w:pPr>
      <w:r>
        <w:t xml:space="preserve">La question traitée est celle des conditions dans lesquelles un déposant peut représenter électroniquement un dessin ou modèle de l’Union au moyen de vues statiques, d’un fichier tridimensionnel dynamique ou d’une animation, sans compromettre l’identification claire de l’objet de la protection demandée.</w:t>
      </w:r>
    </w:p>
    <w:p>
      <w:pPr>
        <w:spacing w:after="180" w:line="300"/>
        <w:jc w:val="both"/>
      </w:pPr>
      <w:r>
        <w:t xml:space="preserve">La décision prend acte de la possibilité désormais ouverte de déposer des moyens de représentation non statiques. Elle relève que cette faculté, combinée à l’augmentation du nombre de dessins susceptibles d’être réunis dans une demande multiple, est susceptible d’accroître les contraintes de sécurité et de fonctionnement des systèmes de l’Office. Elle justifie ainsi la fixation de limitations techniques portant sur le nombre de vues et la taille des fichiers. La représentation demeure déterminante pour délimiter l’objet protégé : le déposant ne peut combiner plusieurs types de représentation pour un même dessin. Les exigences formelles distinctes de la condition d’une représentation suffisamment claire continuent, quant à elles, de pouvoir conduire au refus de la demande si elles ne sont pas régularisées.</w:t>
      </w:r>
    </w:p>
    <w:p>
      <w:pPr>
        <w:spacing w:after="180" w:line="300"/>
        <w:jc w:val="both"/>
      </w:pPr>
      <w:r>
        <w:t xml:space="preserve">Pour une représentation statique, l’EUIPO accepte jusqu’à dix fichiers JPEG par dessin, dans la limite de 2 Mo par fichier et de 20 Mo au total. Pour une représentation dynamique, un seul fichier OBJ ou STL peut être déposé par dessin ; pour une représentation animée, un seul fichier MP4 est admis. Les fichiers dynamiques et animés sont limités à 20 Mo. Le MP4 doit notamment être encodé en H.264, présenter une cadence comprise entre 24 et 30 images par seconde, une résolution minimale de 1 280 × 720 pixels et ne comporter aucune piste audio.</w:t>
      </w:r>
    </w:p>
    <w:p>
      <w:pPr>
        <w:pBdr>
          <w:left w:val="single" w:color="507D82" w:sz="10" w:space="8"/>
        </w:pBdr>
        <w:spacing w:after="260" w:before="80"/>
        <w:ind w:left="180"/>
        <w:jc w:val="both"/>
      </w:pPr>
      <w:r>
        <w:rPr>
          <w:b/>
          <w:bCs/>
        </w:rPr>
        <w:t xml:space="preserve">Portée pratique. </w:t>
      </w:r>
      <w:r>
        <w:t xml:space="preserve">Les titulaires d’interfaces graphiques, d’objets numériques, d’animations ou de produits dont l’apparence comporte une transition visuelle disposent désormais d’un véhicule de représentation plus adapté que la seule juxtaposition de vues fixes. Le choix du format doit néanmoins être arrêté avant le dépôt : un même dessin ne peut être représenté à la fois par des vues JPEG et par une vidéo ou un modèle 3D. Les équipes de création et les conseils doivent également vérifier en amont la cohérence de la représentation, l’absence d’éléments non revendiqués non clairement exclus et la conformité des fichiers aux seuils techniques de l’EUIPO. Une attention particulière demeure nécessaire en cas de stratégie internationale, la reconnaissance d’une priorité fondée sur une représentation dynamique ou animée n’étant pas nécessairement assurée hors de l’Union européenne.</w:t>
      </w:r>
    </w:p>
    <w:p>
      <w:pPr>
        <w:spacing w:after="140" w:before="260"/>
      </w:pPr>
      <w:r>
        <w:rPr>
          <w:i/>
          <w:iCs/>
          <w:color w:val="666666"/>
          <w:sz w:val="18"/>
          <w:szCs w:val="18"/>
        </w:rPr>
        <w:t xml:space="preserve">Sélection de six sujets issus des neuf sources contrôlées, en privilégiant les sources institutionnelles et primaires, les publications récentes et un équilibre entre marques, brevets, dessins et modèles, droit d’auteur et intelligence artificielle. Les analyses de Dreyfus &amp; Associés sont retenues uniquement lorsqu’aucune publication primaire suffisamment vérifiable n’a été identifiée sur le sujet.</w:t>
      </w:r>
    </w:p>
    <w:sectPr>
      <w:footerReference w:type="default" r:id="rId7"/>
      <w:pgSz w:w="11906" w:h="16838"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Veille IP ·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1717"/>
        <w:sz w:val="22"/>
        <w:szCs w:val="22"/>
      </w:rPr>
    </w:rPrDefault>
    <w:pPrDefault>
      <w:pPr>
        <w:spacing w:after="16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171717"/>
      <w:sz w:val="24"/>
      <w:szCs w:val="24"/>
    </w:rPr>
  </w:style>
  <w:style w:type="paragraph" w:styleId="Heading2">
    <w:name w:val="Heading 2"/>
    <w:basedOn w:val="Normal"/>
    <w:next w:val="Normal"/>
    <w:qFormat/>
    <w:rPr>
      <w:rFonts w:ascii="Arial" w:cs="Arial" w:eastAsia="Arial" w:hAnsi="Arial"/>
      <w:b/>
      <w:bCs/>
      <w:color w:val="17171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duyrxwc_vwqwh7wxjdlv" Type="http://schemas.openxmlformats.org/officeDocument/2006/relationships/hyperlink" Target="Document primaire directement accessible non identifi&#233; &#224; partir de l&#8217;URL fournie." TargetMode="External"/><Relationship Id="rIdt2un--fe9flgocnu_rqt2" Type="http://schemas.openxmlformats.org/officeDocument/2006/relationships/hyperlink" Target="https://guidelines.euipo.europa.eu/2318651/2445755/designs-guidelines/1-introduction" TargetMode="External"/><Relationship Id="rIdlvh_l5fch9jzuiywobqoj" Type="http://schemas.openxmlformats.org/officeDocument/2006/relationships/hyperlink" Target="https://www.wipo.int/wipolex/en/treaties/notifications/details/treaty_pct_227" TargetMode="External"/><Relationship Id="rIdyek2n9wg8um_qhq5nxq48" Type="http://schemas.openxmlformats.org/officeDocument/2006/relationships/hyperlink" Target="https://www.epo.org/en/legal/official-journal/2026/08/a39" TargetMode="External"/><Relationship Id="rIdqmubnznqwey87vgupdrs8" Type="http://schemas.openxmlformats.org/officeDocument/2006/relationships/hyperlink" Target="https://www.culture.gouv.fr/mc/content/download/393318/pdf_file/CSPLA%20-%20CR%20s%C3%A9ance%2015.12.2025%20%284%29.pdf?inLanguage=fre-FR&amp;version=1" TargetMode="External"/><Relationship Id="rIdhpetoaqajcvezg66y1d5i" Type="http://schemas.openxmlformats.org/officeDocument/2006/relationships/hyperlink" Target="https://euipo.europa.eu/tunnel-web/secure/webdav/guest/document_library/contentPdfs/law_and_practice/decisions_president/EX-26-3_en.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Veille Propriété intellectuelle – Semaine du 26 août au 1er septembre 2026</dc:title>
  <dc:creator>Veille IP DLA</dc:creator>
  <dc:description>Veille hebdomadaire de propriété intellectuelle</dc:description>
  <cp:lastModifiedBy>Un-named</cp:lastModifiedBy>
  <cp:revision>1</cp:revision>
  <dcterms:created xsi:type="dcterms:W3CDTF">2026-09-01T10:05:14.221Z</dcterms:created>
  <dcterms:modified xsi:type="dcterms:W3CDTF">2026-09-01T10:05:14.221Z</dcterms:modified>
</cp:coreProperties>
</file>

<file path=docProps/custom.xml><?xml version="1.0" encoding="utf-8"?>
<Properties xmlns="http://schemas.openxmlformats.org/officeDocument/2006/custom-properties" xmlns:vt="http://schemas.openxmlformats.org/officeDocument/2006/docPropsVTypes"/>
</file>