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Semaine du 28 août au 3 septembre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u w:val="single"/>
        </w:rPr>
        <w:t xml:space="preserve">Marques : La représentation d’une semelle de chaussure au regard des conditions de validité d’un dessin ou modèle de l’Union européenne</w:t>
      </w:r>
    </w:p>
    <w:p>
      <w:pPr>
        <w:spacing w:after="240"/>
      </w:pPr>
      <w:hyperlink w:history="1" r:id="rIdkbosjsheahe7ih8eh3ivq">
        <w:r>
          <w:rPr>
            <w:color w:val="507D82"/>
            <w:u w:val="single"/>
          </w:rPr>
          <w:t xml:space="preserve">Tribunal de l’Union européenne, 2 septembre 2026, T-376/25, Puma SE contre EUIPO et Sir Safety System S.p.A., ECLI:EU:T:2026:515, 2026-09-02</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L’arrêt T-376/25 s’inscrit dans un contentieux de validité portant sur une représentation de semelle de chaussure. Malgré l’intitulé retenu pour cette veille, le litige ne relève pas, selon les informations institutionnelles accessibles, du droit des marques, mais du droit des dessins ou modèles de l’Union européenne. Le recours introduit par Puma SE visait une décision de la troisième chambre de recours de l’EUIPO, rendue le 26 mars 2025 dans l’affaire R 1137/2024-3. Il portait sur l’enregistrement international no DM/214 918, désignant l’Union européenne, dont Sir Safety System S.p.A. était titulaire. La seule branche de moyen identifiée dans les informations publiées au stade de l’introduction du recours était tirée de la méconnaissance de l’article 25, paragraphe 1, sous b), du règlement no 6/2002.</w:t>
      </w:r>
    </w:p>
    <w:p>
      <w:pPr>
        <w:spacing w:after="180" w:line="300"/>
        <w:jc w:val="both"/>
      </w:pPr>
      <w:r>
        <w:t xml:space="preserve">Sir Safety System S.p.A. était titulaire du dessin ou modèle contesté, constitué d’un enregistrement international désignant l’Union européenne sous le no DM/214 918 et décrit comme une représentation de semelle de chaussure. Une procédure en nullité a été engagée devant l’EUIPO. À son issue, la troisième chambre de recours a adopté, le 26 mars 2025, la décision R 1137/2024-3. Puma SE a introduit un recours devant le Tribunal le 6 juin 2025. Les informations institutionnelles accessibles indiquent que l’affaire a été appelée devant la septième chambre du Tribunal et que l’arrêt a été prononcé le 2 septembre 2026. Elles ne permettent pas d’établir le contenu de la décision de la chambre de recours, l’identité du demandeur initial en nullité, ni les éléments de fait ou les antériorités discutés devant l’EUIPO.</w:t>
      </w:r>
    </w:p>
    <w:p>
      <w:pPr>
        <w:spacing w:after="180" w:line="300"/>
        <w:jc w:val="both"/>
      </w:pPr>
      <w:r>
        <w:t xml:space="preserve">Puma SE sollicitait l’annulation de la décision attaquée et la déclaration de nullité du dessin ou modèle litigieux. Elle demandait également la condamnation de l’EUIPO aux dépens, y compris ceux exposés devant la chambre de recours. Son moyen unique était fondé sur une violation de l’article 25, paragraphe 1, sous b), du règlement no 6/2002. Les éléments accessibles ne précisent pas l’interprétation que Puma donnait de cette disposition, ni les griefs concrets articulés contre l’appréciation de la chambre de recours. Ils ne renseignent pas davantage sur les observations de l’EUIPO ou de Sir Safety System S.p.A., autre partie à la procédure devant la chambre de recours.</w:t>
      </w:r>
    </w:p>
    <w:p>
      <w:pPr>
        <w:spacing w:after="180" w:line="300"/>
        <w:jc w:val="both"/>
      </w:pPr>
      <w:r>
        <w:t xml:space="preserve">Le Tribunal devait déterminer si la décision de la troisième chambre de recours de l’EUIPO relative à la validité de l’enregistrement international no DM/214 918, représentant une semelle de chaussure, était entachée d’une violation de l’article 25, paragraphe 1, sous b), du règlement no 6/2002. En l’absence d’accès au texte de l’arrêt, il n’est pas possible de formuler plus précisément la question relative aux conditions de protection, au motif de nullité effectivement invoqué, ou à l’appréciation de la représentation litigieuse.</w:t>
      </w:r>
    </w:p>
    <w:p>
      <w:pPr>
        <w:spacing w:after="180" w:line="300"/>
        <w:jc w:val="both"/>
      </w:pPr>
      <w:r>
        <w:t xml:space="preserve">Le texte intégral de l’arrêt n’a pas pu être obtenu par consultation du document primaire indiqué, malgré l’identification par la base institutionnelle CURIA d’un arrêt rendu le 2 septembre 2026 sous le numéro T-376/25 et l’ECLI mentionné. Il n’est donc pas possible de restituer le raisonnement du Tribunal sans excéder les informations vérifiables. En particulier, les sources accessibles ne permettent pas de déterminer si le Tribunal a examiné les conditions de nouveauté ou de caractère individuel, la portée des caractéristiques visibles de la semelle, la fonction technique éventuelle de certains éléments, la qualité des divulgations invoquées, ou encore le degré de liberté du créateur. Elles ne permettent pas non plus d’identifier les motifs exacts par lesquels le Tribunal aurait validé ou censuré l’analyse de la chambre de recours. Toute présentation plus affirmative de ces points constituerait une extrapolation non vérifiée.</w:t>
      </w:r>
    </w:p>
    <w:p>
      <w:pPr>
        <w:spacing w:after="180" w:line="300"/>
        <w:jc w:val="both"/>
      </w:pPr>
      <w:r>
        <w:t xml:space="preserve">L’existence d’un arrêt du Tribunal, prononcé le 2 septembre 2026 dans l’affaire T-376/25, ainsi que sa référence ECLI:EU:T:2026:515, sont confirmées par les résultats institutionnels CURIA accessibles. En revanche, le dispositif de l’arrêt n’a pas pu être consulté. Il n’est donc pas possible d’indiquer avec certitude si le Tribunal a annulé ou rejeté le recours de Puma SE, ni s’il a statué lui-même sur la validité du dessin ou modèle. Il n’est pas davantage possible de vérifier la répartition des dépens. Ces éléments devront impérativement être complétés à partir d’une copie intégrale et accessible de la décision.</w:t>
      </w:r>
    </w:p>
    <w:p>
      <w:pPr>
        <w:pBdr>
          <w:left w:val="single" w:color="507D82" w:sz="10" w:space="8"/>
        </w:pBdr>
        <w:spacing w:after="260" w:before="80"/>
        <w:ind w:left="180"/>
        <w:jc w:val="both"/>
      </w:pPr>
      <w:r>
        <w:rPr>
          <w:b/>
          <w:bCs/>
        </w:rPr>
        <w:t xml:space="preserve">Portée pratique. </w:t>
      </w:r>
      <w:r>
        <w:t xml:space="preserve">Cette affaire appelle une vigilance particulière quant à la qualification du droit de propriété intellectuelle mobilisé. Une représentation de semelle peut constituer l’objet d’un dépôt de dessin ou modèle, dont la contestation obéit au régime de nullité du règlement no 6/2002, distinct du régime de la marque de l’Union européenne. Pour les titulaires et demandeurs d’enregistrements portant sur des éléments de produits, la précision des vues déposées, l’identification des caractéristiques revendiquées et la conservation des preuves de divulgation demeurent déterminantes. Toutefois, faute d’accès au raisonnement et au dispositif, l’arrêt ne peut, à ce stade, être regardé comme apportant un enseignement vérifié sur les critères matériels de validité applicables aux semelles de chaussures. Toute exploitation contentieuse ou stratégique de cette décision suppose donc la consultation préalable de son texte intégral.</w:t>
      </w:r>
    </w:p>
    <w:p>
      <w:pPr>
        <w:pStyle w:val="Heading2"/>
        <w:keepNext/>
        <w:spacing w:after="100" w:before="180"/>
      </w:pPr>
      <w:r>
        <w:rPr>
          <w:b/>
          <w:bCs/>
          <w:u w:val="single"/>
        </w:rPr>
        <w:t xml:space="preserve">Brevets et procédure : L’annulation d’une décision insuffisamment motivée au titre du droit à une procédure régulière</w:t>
      </w:r>
    </w:p>
    <w:p>
      <w:pPr>
        <w:spacing w:after="240"/>
      </w:pPr>
      <w:hyperlink w:history="1" r:id="rId6d51joldy0sop9tgeikef">
        <w:r>
          <w:rPr>
            <w:color w:val="507D82"/>
            <w:u w:val="single"/>
          </w:rPr>
          <w:t xml:space="preserve">OEB, Chambre de recours juridique, décision J 0010/25, 13 août 2026, ECLI:EP:BA:2026:J001025.20260813, 2026-08-21</w:t>
        </w:r>
      </w:hyperlink>
    </w:p>
    <w:p>
      <w:pPr>
        <w:spacing w:after="180" w:line="300"/>
        <w:jc w:val="both"/>
      </w:pPr>
      <w:r>
        <w:t xml:space="preserve">Par la décision J 0010/25 du 13 août 2026, mise en ligne le 21 août 2026, la Chambre de recours juridique de l’Office européen des brevets rappelle l’exigence fondamentale de motivation des décisions de première instance. Elle juge qu’une décision de rejet qui laisse indéterminé le motif décisif du refus méconnaît la règle 111(2) CBE. L’irrégularité, qui prive le demandeur d’un contrôle juridictionnel effectif, constitue une violation substantielle de procédure justifiant l’annulation de la décision, le renvoi de l’affaire et le remboursement de la taxe de recours.</w:t>
      </w:r>
    </w:p>
    <w:p>
      <w:pPr>
        <w:spacing w:after="180" w:line="300"/>
        <w:jc w:val="both"/>
      </w:pPr>
      <w:r>
        <w:t xml:space="preserve">La section de dépôt avait adressé au demandeur, le 10 octobre 2024, une notification établie sur le formulaire OEB 1050C, l’invitant, au titre de la règle 58 CBE, à remédier dans un délai de deux mois à des irrégularités affectant les dessins déposés le 22 mai 2024. L’annexe C de cette notification relevait deux défauts formels : la présence, à la page 6, de chiffres ou de lettres dont la hauteur était inférieure à 0,32 cm et l’absence de numérotation consécutive de certaines figures en chiffres arabes. Le demandeur n’a pas répondu dans le délai fixé. Il a toutefois déposé un nouveau jeu de dessins le 19 mars 2025, puis deux jeux de dessins, présentés respectivement comme requête principale et requête subsidiaire, le 15 juillet 2025. Par décision du 1er septembre 2025, prise sur formulaire OEB 1088, la section de dépôt a rejeté la demande en application de l’article 90(5) CBE. Une décision identique avait antérieurement été rendue le 22 janvier 2025, mais avait été réémise faute de pouvoir établir sa remise au demandeur. Le demandeur a formé un recours contre la décision du 1er septembre 2025.</w:t>
      </w:r>
    </w:p>
    <w:p>
      <w:pPr>
        <w:spacing w:after="180" w:line="300"/>
        <w:jc w:val="both"/>
      </w:pPr>
      <w:r>
        <w:t xml:space="preserve">Le requérant a produit en recours les deux jeux de dessins déposés le 15 juillet 2025 et a soutenu qu’ils remédiaient aux irrégularités identifiées dans la notification du 10 octobre 2024. Il a sollicité l’annulation du rejet sur le fondement de sa requête principale ou, à titre subsidiaire, de sa requête subsidiaire, ainsi que le renvoi de l’affaire devant la section de dépôt pour la poursuite de la procédure. La décision ne rapporte pas d’observations distinctes de la section de dépôt dans le cadre du recours. Après qu’une communication de la Chambre a indiqué son intention d’annuler la décision et de renvoyer l’affaire, le requérant a retiré sa demande de procédure orale.</w:t>
      </w:r>
    </w:p>
    <w:p>
      <w:pPr>
        <w:spacing w:after="180" w:line="300"/>
        <w:jc w:val="both"/>
      </w:pPr>
      <w:r>
        <w:t xml:space="preserve">Une décision de rejet rendue en vertu de l’article 90(5) CBE satisfait-elle à l’exigence de motivation prévue par la règle 111(2) CBE lorsqu’elle indique, de manière alternative, que les irrégularités signalées n’ont pas été corrigées dans le délai imparti ou n’ont pas été correctement remédiées, sans préciser lequel de ces deux motifs fonde effectivement le rejet ?</w:t>
      </w:r>
    </w:p>
    <w:p>
      <w:pPr>
        <w:spacing w:after="180" w:line="300"/>
        <w:jc w:val="both"/>
      </w:pPr>
      <w:r>
        <w:t xml:space="preserve">La Chambre constate que la décision litigieuse mentionnait que les irrégularités relevées dans la notification prise au titre de la règle 58 CBE n’avaient pas été corrigées dans les délais ou n’avaient pas été correctement remédiées. Or, ces deux branches correspondent à des fondements distincts. Le premier tient au non-respect du délai de deux mois imparti pour répondre à la notification. Le second suppose une appréciation au fond selon laquelle les dessins ultérieurement déposés ne satisfaisaient toujours pas aux exigences de forme résultant notamment de la règle 49 CBE. La formulation retenue sur le formulaire de décision ne permettait donc pas de déterminer si la section de dépôt reprochait au demandeur une absence de régularisation en temps utile ou l’insuffisance matérielle des régularisations produites. La Chambre relève ainsi que le motif déterminant du rejet demeurait inconnu. Cette ambiguïté contrevient à la règle 111(2) CBE, qui impose que les décisions de l’Office européen des brevets soient motivées. Elle empêche en outre le demandeur de comprendre précisément la base du rejet et de développer utilement son argumentation en recours. La Chambre qualifie dès lors l’irrégularité de violation substantielle de procédure. Elle statue par écrit, sans procédure orale, conformément à l’article 12(8) du règlement de procédure des chambres de recours, après le retrait de la demande de procédure orale par le requérant.</w:t>
      </w:r>
    </w:p>
    <w:p>
      <w:pPr>
        <w:spacing w:after="180" w:line="300"/>
        <w:jc w:val="both"/>
      </w:pPr>
      <w:r>
        <w:t xml:space="preserve">La Chambre déclare le recours recevable, annule la décision de rejet du 1er septembre 2025 et renvoie l’affaire devant la section de dépôt pour la poursuite de la procédure. Compte tenu de la violation substantielle de procédure constatée, elle ordonne également le remboursement de la taxe de recours sur le fondement de la règle 103(1)(a) CBE. La décision ne tranche pas la conformité des jeux de dessins déposés par le demandeur aux exigences applicables, cette appréciation relevant de la poursuite de l’examen devant la section de dépôt.</w:t>
      </w:r>
    </w:p>
    <w:p>
      <w:pPr>
        <w:pBdr>
          <w:left w:val="single" w:color="507D82" w:sz="10" w:space="8"/>
        </w:pBdr>
        <w:spacing w:after="260" w:before="80"/>
        <w:ind w:left="180"/>
        <w:jc w:val="both"/>
      </w:pPr>
      <w:r>
        <w:rPr>
          <w:b/>
          <w:bCs/>
        </w:rPr>
        <w:t xml:space="preserve">Portée pratique. </w:t>
      </w:r>
      <w:r>
        <w:t xml:space="preserve">Cette décision appelle une vigilance particulière dans les procédures conduites au moyen de formulaires standardisés. L’utilisation de mentions alternatives ou cumulatives ne dispense pas l’instance compétente d’identifier sans équivoque le fondement juridique et factuel déterminant de sa décision. Lorsqu’un demandeur dépose des documents corrigés après l’expiration d’un délai, la décision doit notamment préciser si le rejet repose sur la seule tardiveté de la régularisation, sur la persistance des irrégularités formelles, ou sur un autre motif clairement exposé. À défaut, la décision s’expose à l’annulation pour défaut de motivation, au renvoi et au remboursement de la taxe de recours. Pour les titulaires de portefeuilles de brevets, l’arrêt confirme également l’intérêt d’examiner attentivement la cohérence entre les notifications antérieures, les pièces déposées et le motif exact figurant dans le dispositif et la motivation du rejet.</w:t>
      </w:r>
    </w:p>
    <w:p>
      <w:pPr>
        <w:pStyle w:val="Heading1"/>
        <w:pBdr>
          <w:bottom w:val="single" w:color="222222" w:sz="6" w:space="6"/>
        </w:pBdr>
        <w:spacing w:after="180" w:before="300"/>
      </w:pPr>
      <w:r>
        <w:rPr>
          <w:b/>
          <w:bCs/>
        </w:rPr>
        <w:t xml:space="preserve">ACTUALITÉS</w:t>
      </w:r>
    </w:p>
    <w:p>
      <w:pPr>
        <w:pStyle w:val="Heading2"/>
        <w:keepNext/>
        <w:spacing w:after="100" w:before="180"/>
      </w:pPr>
      <w:r>
        <w:rPr>
          <w:b/>
          <w:bCs/>
          <w:u w:val="single"/>
        </w:rPr>
        <w:t xml:space="preserve">Le CSPLA examine les incidences de l’intelligence artificielle générative sur le droit d’auteur et les droits voisins</w:t>
      </w:r>
    </w:p>
    <w:p>
      <w:pPr>
        <w:spacing w:after="240"/>
      </w:pPr>
      <w:hyperlink w:history="1" r:id="rIdrlha-clmhue5hif62u5f7">
        <w:r>
          <w:rPr>
            <w:color w:val="507D82"/>
            <w:u w:val="single"/>
          </w:rPr>
          <w:t xml:space="preserve">Compte rendu de la séance plénière du CSPLA du 15 décembre 2025, 2026-08-07</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Publié le 7 août 2026, le compte rendu de la séance plénière du Conseil supérieur de la propriété littéraire et artistique du 15 décembre 2025 confirme la place centrale occupée par l’intelligence artificielle générative dans les travaux consultatifs conduits sous l’égide du ministère de la Culture. Le CSPLA, chargé de conseiller la ministre compétente en matière de propriété littéraire et artistique, y a examiné plusieurs chantiers intéressant directement le droit d’auteur, les droits voisins et les pratiques de marché.</w:t>
      </w:r>
    </w:p>
    <w:p>
      <w:pPr>
        <w:spacing w:after="180" w:line="300"/>
        <w:jc w:val="both"/>
      </w:pPr>
      <w:r>
        <w:t xml:space="preserve">Il ne s’agit pas d’une décision juridictionnelle ni d’une procédure contentieuse. La source institutionnelle accessible indique que la séance a réuni les membres du CSPLA afin d’échanger sur les travaux en cours, en particulier ceux relatifs à l’intelligence artificielle.</w:t>
      </w:r>
    </w:p>
    <w:p>
      <w:pPr>
        <w:spacing w:after="180" w:line="300"/>
        <w:jc w:val="both"/>
      </w:pPr>
      <w:r>
        <w:t xml:space="preserve">Aucune position individuelle, aucun argument contradictoire et aucune conclusion attribuée à un participant ne sont précisés dans les informations institutionnelles accessibles. Le compte rendu intégral n’a pas pu être consulté techniquement.</w:t>
      </w:r>
    </w:p>
    <w:p>
      <w:pPr>
        <w:spacing w:after="180" w:line="300"/>
        <w:jc w:val="both"/>
      </w:pPr>
      <w:r>
        <w:t xml:space="preserve">Les travaux évoqués s’inscrivent dans l’identification des règles susceptibles d’encadrer l’entraînement et l’exploitation commerciale des modèles d’intelligence artificielle générative dans l’Union européenne, ainsi que le traitement des productions, œuvres, prestations et contenus affectés par ces technologies.</w:t>
      </w:r>
    </w:p>
    <w:p>
      <w:pPr>
        <w:spacing w:after="180" w:line="300"/>
        <w:jc w:val="both"/>
      </w:pPr>
      <w:r>
        <w:t xml:space="preserve">Selon la présentation institutionnelle de la publication, la séance a notamment donné lieu à la présentation du rapport de mission confié à Tristan Azzi et Yves El Hage sur la loi applicable à l’entraînement des modèles d’intelligence artificielle générative commercialisés dans l’Union européenne. Les membres du Conseil ont également échangé sur les conclusions du cycle de concertation réunissant développeurs de modèles d’intelligence artificielle et ayants droit culturels. Enfin, l’état d’avancement de plusieurs missions du CSPLA a été abordé, relatives aux hypertrucages, au statut des productions générées avec l’intelligence artificielle, à l’architecture et au droit d’auteur, ainsi qu’à l’attribution des œuvres et des prestations artistiques. Les développements, analyses et éventuelles recommandations contenus dans le document intégral ne sont pas précisés dans la source accessible.</w:t>
      </w:r>
    </w:p>
    <w:p>
      <w:pPr>
        <w:spacing w:after="180" w:line="300"/>
        <w:jc w:val="both"/>
      </w:pPr>
      <w:r>
        <w:t xml:space="preserve">La séance ne paraît pas emporter, par elle-même, l’adoption d’une norme ou d’une recommandation identifiée dans la page institutionnelle. Elle atteste néanmoins de la poursuite coordonnée de travaux juridiques et de concertations sectorielles consacrés aux incidences de l’intelligence artificielle générative.</w:t>
      </w:r>
    </w:p>
    <w:p>
      <w:pPr>
        <w:pBdr>
          <w:left w:val="single" w:color="507D82" w:sz="10" w:space="8"/>
        </w:pBdr>
        <w:spacing w:after="260" w:before="80"/>
        <w:ind w:left="180"/>
        <w:jc w:val="both"/>
      </w:pPr>
      <w:r>
        <w:rPr>
          <w:b/>
          <w:bCs/>
        </w:rPr>
        <w:t xml:space="preserve">Portée pratique. </w:t>
      </w:r>
      <w:r>
        <w:t xml:space="preserve">Cette publication appelle une vigilance particulière des titulaires de droits, entreprises culturelles, fournisseurs de modèles et utilisateurs professionnels. Les thèmes examinés concernent la détermination de la loi applicable, l’accès aux contenus aux fins d’entraînement, la qualification des productions générées, la traçabilité de l’attribution des œuvres et prestations, ainsi que les risques liés aux hypertrucages. La consultation du compte rendu intégral et des rapports de mission mentionnés demeure nécessaire afin d’identifier les propositions concrètes, les éventuelles divergences exprimées et les suites susceptibles d’être données par les pouvoirs publics.</w:t>
      </w:r>
    </w:p>
    <w:p>
      <w:pPr>
        <w:pStyle w:val="Heading2"/>
        <w:keepNext/>
        <w:spacing w:after="100" w:before="180"/>
      </w:pPr>
      <w:r>
        <w:rPr>
          <w:b/>
          <w:bCs/>
          <w:u w:val="single"/>
        </w:rPr>
        <w:t xml:space="preserve">La réforme européenne des dessins et modèles élargit les modalités de représentation des créations, notamment au moyen de fichiers tridimensionnels et d’animations</w:t>
      </w:r>
    </w:p>
    <w:p>
      <w:pPr>
        <w:spacing w:after="240"/>
      </w:pPr>
      <w:hyperlink w:history="1" r:id="rIdktu92x6lf_56gzgncngvn">
        <w:r>
          <w:rPr>
            <w:color w:val="507D82"/>
            <w:u w:val="single"/>
          </w:rPr>
          <w:t xml:space="preserve">Réforme européenne des dessins et modèles, seconde phase entrée en application le 1er juillet 2026, 2026-07-01</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La seconde phase de la réforme du droit des dessins ou modèles de l’Union est entrée en application le 1er juillet 2026. Elle accompagne l’élargissement de la notion de dessin ou modèle aux caractéristiques d’animation, de mouvement et de transition, ainsi que la prise en compte explicite de produits non physiques, notamment les interfaces graphiques. Dans ce contexte, les exigences relatives à la représentation du dessin ou modèle ont été adaptées afin de permettre une présentation davantage conforme aux modalités d’appréhension de créations numériques ou de produits dont l’apparence doit être envisagée dans l’espace ou dans le temps.</w:t>
      </w:r>
    </w:p>
    <w:p>
      <w:pPr>
        <w:spacing w:after="180" w:line="300"/>
        <w:jc w:val="both"/>
      </w:pPr>
      <w:r>
        <w:t xml:space="preserve">Sans objet. La présente fiche porte sur l’évolution du cadre normatif et de la pratique de dépôt devant l’Office de l’Union européenne pour la propriété intellectuelle.</w:t>
      </w:r>
    </w:p>
    <w:p>
      <w:pPr>
        <w:spacing w:after="180" w:line="300"/>
        <w:jc w:val="both"/>
      </w:pPr>
      <w:r>
        <w:t xml:space="preserve">Sans objet. Il ne s’agit pas d’un contentieux opposant des parties.</w:t>
      </w:r>
    </w:p>
    <w:p>
      <w:pPr>
        <w:spacing w:after="180" w:line="300"/>
        <w:jc w:val="both"/>
      </w:pPr>
      <w:r>
        <w:t xml:space="preserve">La réforme conduit à préciser dans quelles conditions un demandeur peut représenter un dessin ou modèle de l’Union par un fichier dynamique tridimensionnel ou par une représentation animée, en lieu et place des vues statiques traditionnelles.</w:t>
      </w:r>
    </w:p>
    <w:p>
      <w:pPr>
        <w:spacing w:after="180" w:line="300"/>
        <w:jc w:val="both"/>
      </w:pPr>
      <w:r>
        <w:t xml:space="preserve">Les lignes directrices de l’EUIPO distinguent désormais trois modalités exclusives de représentation pour un même dessin ou modèle : statique, dynamique ou animée. Une représentation statique peut comprendre jusqu’à dix vues. Une représentation dynamique ou animée ne peut, en revanche, comporter qu’un seul fichier par dessin ou modèle. Les formats annoncés pour la représentation dynamique sont les fichiers OBJ et STL, tandis que la représentation animée peut être fournie au format MP4. Les exigences techniques publiées par l’Office prévoient une limite de vingt mégaoctets pour ces fichiers et interdisent de combiner, pour un même dessin ou modèle, plusieurs types de représentation visuelle, notamment des vues statiques et une vidéo. La représentation doit demeurer suffisamment claire pour permettre d’identifier l’objet de la protection sollicitée. Elle doit également porter sur un seul et même dessin ou modèle et présenter les caractéristiques visuelles de manière cohérente. Les éléments inclus dans le fichier mais exclus de la protection doivent faire l’objet de déclarations visuelles de non-revendication. Les lignes directrices indiquent que les insuffisances tenant aux modalités, aux exigences techniques, à la cohérence des caractéristiques ou aux déclarations visuelles peuvent conduire au refus de la demande si elles ne sont pas régularisées dans le délai imparti.</w:t>
      </w:r>
    </w:p>
    <w:p>
      <w:pPr>
        <w:spacing w:after="180" w:line="300"/>
        <w:jc w:val="both"/>
      </w:pPr>
      <w:r>
        <w:t xml:space="preserve">Les déposants disposent, depuis le 1er juillet 2026, d’une faculté effective de recourir à des fichiers tridimensionnels dynamiques et à des vidéos pour définir l’apparence protégée d’un dessin ou modèle de l’Union. Cette faculté ne dispense pas du respect des conditions de clarté, de cohérence et de conformité technique qui délimitent l’objet exact de la protection.</w:t>
      </w:r>
    </w:p>
    <w:p>
      <w:pPr>
        <w:pBdr>
          <w:left w:val="single" w:color="507D82" w:sz="10" w:space="8"/>
        </w:pBdr>
        <w:spacing w:after="260" w:before="80"/>
        <w:ind w:left="180"/>
        <w:jc w:val="both"/>
      </w:pPr>
      <w:r>
        <w:rPr>
          <w:b/>
          <w:bCs/>
        </w:rPr>
        <w:t xml:space="preserve">Portée pratique. </w:t>
      </w:r>
      <w:r>
        <w:t xml:space="preserve">Cette évolution revêt un intérêt particulier pour les titulaires de créations numériques, de produits intégrant des interfaces animées, ainsi que pour les objets dont l’apparence tridimensionnelle ne se laisse pas aisément restituer par une succession de vues fixes. La stratégie de dépôt doit désormais déterminer, dès l’origine, la modalité la plus apte à circonscrire l’apparence revendiquée. Le choix est structurant, dès lors qu’il n’est pas permis d’associer des vues statiques à un fichier dynamique ou animé pour le même dessin ou modèle. Une vigilance particulière doit être accordée à la lisibilité du fichier, à l’unité de l’objet représenté, à la constance des caractéristiques revendiquées et à l’usage cohérent des non-revendications visuelles. Enfin, lorsqu’un dépôt de l’Union est destiné à fonder une priorité à l’étranger, il convient de vérifier que l’ordre juridique concerné reconnaît les représentations dynamiques ou animées.</w:t>
      </w:r>
    </w:p>
    <w:p>
      <w:pPr>
        <w:pStyle w:val="Heading2"/>
        <w:keepNext/>
        <w:spacing w:after="100" w:before="180"/>
      </w:pPr>
      <w:r>
        <w:rPr>
          <w:b/>
          <w:bCs/>
          <w:u w:val="single"/>
        </w:rPr>
        <w:t xml:space="preserve">L’EUIPO publie trois prorogations de délais procéduraux et une décision relative aux audits de décisions de propriété intellectuelle</w:t>
      </w:r>
    </w:p>
    <w:p>
      <w:pPr>
        <w:spacing w:after="240"/>
      </w:pPr>
      <w:hyperlink w:history="1" r:id="rIdm_epn_z9ew2m5npp9ndhc">
        <w:r>
          <w:rPr>
            <w:color w:val="507D82"/>
            <w:u w:val="single"/>
          </w:rPr>
          <w:t xml:space="preserve">EUIPO, Journal officiel, édition du 1er septembre 2026, décisions EX 26 13, EX 26 14, EX 26 15 et ADM 26 26, 2026-09-01</w:t>
        </w:r>
      </w:hyperlink>
    </w:p>
    <w:p>
      <w:pPr>
        <w:spacing w:after="220"/>
        <w:jc w:val="both"/>
      </w:pPr>
      <w:r>
        <w:rPr>
          <w:b/>
          <w:bCs/>
          <w:i/>
          <w:iCs/>
          <w:color w:val="C55A11"/>
        </w:rPr>
        <w:t xml:space="preserve">Attention : les informations présentées dans cette section doivent être vérifiées, l’accès à la source étant incomplet, limité ou restreint.</w:t>
      </w:r>
    </w:p>
    <w:p>
      <w:pPr>
        <w:spacing w:after="180" w:line="300"/>
        <w:jc w:val="both"/>
      </w:pPr>
      <w:r>
        <w:t xml:space="preserve">L’édition du Journal officiel de l’EUIPO publiée le 1er septembre 2026 réunit les décisions EX 26 13, EX 26 14 et EX 26 15, relatives à la prorogation de délais dans les procédures devant l’Office, ainsi que la décision ADM 26 26, intitulée IP Decision Audits and Related Quality Controls. Les trois premières décisions ont été consultées dans leur intégralité. Elles s’inscrivent dans l’exercice, par le directeur exécutif, de ses compétences relatives aux délais en matière de marques de l’Union européenne et de dessins ou modèles de l’Union européenne. ([euipo.europa.eu](https://www.euipo.europa.eu/sk/law/communications-and-decisions-ed/official-journal?utm_source=openai))</w:t>
      </w:r>
    </w:p>
    <w:p>
      <w:pPr>
        <w:spacing w:after="180" w:line="300"/>
        <w:jc w:val="both"/>
      </w:pPr>
      <w:r>
        <w:t xml:space="preserve">La décision EX 26 13, adoptée le 31 juillet 2026, fait suite aux séismes survenus le 28 juillet 2026 dans la préfecture de Kumamoto, au Japon. La décision EX 26 14, du 13 août 2026, se rattache au séisme ayant frappé la Colombie le 10 août 2026. La décision EX 26 15, du 18 août 2026, concerne le séisme intervenu en Indonésie le 15 août 2026, près de l’île de Flores. L’EUIPO considère, dans chaque cas, que ces circonstances exceptionnelles ont gravement entravé ou interrompu les communications avec l’Office et sont susceptibles d’empêcher l’accès à ses systèmes électroniques. ([euipo.europa.eu](https://euipo.europa.eu/tunnel-web/secure/webdav/guest/document_library/contentPdfs/law_and_practice/decisions_president/EX-26-13_en.pdf))</w:t>
      </w:r>
    </w:p>
    <w:p>
      <w:pPr>
        <w:spacing w:after="180" w:line="300"/>
        <w:jc w:val="both"/>
      </w:pPr>
      <w:r>
        <w:t xml:space="preserve">Sans objet. Ces mesures sont des décisions administratives de portée générale et ne tranchent pas un litige opposant des parties déterminées. Les décisions visent néanmoins les parties aux procédures devant l’EUIPO ayant leur résidence ou leur siège social dans les États concernés. Elles envisagent également l’incidence possible des perturbations sur les échanges entre ces parties et leurs représentants établis dans l’Espace économique européen. ([euipo.europa.eu](https://euipo.europa.eu/tunnel-web/secure/webdav/guest/document_library/contentPdfs/law_and_practice/decisions_president/EX-26-13_en.pdf))</w:t>
      </w:r>
    </w:p>
    <w:p>
      <w:pPr>
        <w:spacing w:after="180" w:line="300"/>
        <w:jc w:val="both"/>
      </w:pPr>
      <w:r>
        <w:t xml:space="preserve">La question traitée est celle de savoir si les perturbations consécutives aux événements sismiques justifient une prorogation générale des délais procéduraux applicables aux parties concernées devant l’EUIPO. Les décisions se fondent notamment sur les dispositions du règlement sur la marque de l’Union européenne relatives aux délais et sur le principe de bonne administration consacré par l’article 41 de la Charte des droits fondamentaux de l’Union européenne. ([euipo.europa.eu](https://euipo.europa.eu/tunnel-web/secure/webdav/guest/document_library/contentPdfs/law_and_practice/decisions_president/EX-26-13_en.pdf))</w:t>
      </w:r>
    </w:p>
    <w:p>
      <w:pPr>
        <w:spacing w:after="180" w:line="300"/>
        <w:jc w:val="both"/>
      </w:pPr>
      <w:r>
        <w:t xml:space="preserve">L’Office qualifie les événements en cause de circonstances exceptionnelles, de nature à compromettre les communications et l’accomplissement des actes de procédure. Il relève expressément que la perturbation affecte l’ensemble des délais. La décision EX 26 13 proroge jusqu’au 28 août 2026 les délais expirant du 28 juillet au 27 août 2026 pour les parties établies au Japon. La décision EX 26 14 reporte au 10 septembre 2026 les délais expirant du 10 août au 9 septembre 2026 pour les parties établies en Colombie. La décision EX 26 15 reporte au 15 septembre 2026 les délais expirant du 15 août au 14 septembre 2026 pour les parties établies en Indonésie. ([euipo.europa.eu](https://euipo.europa.eu/tunnel-web/secure/webdav/guest/document_library/contentPdfs/law_and_practice/decisions_president/EX-26-13_en.pdf))</w:t>
      </w:r>
    </w:p>
    <w:p>
      <w:pPr>
        <w:spacing w:after="180" w:line="300"/>
        <w:jc w:val="both"/>
      </w:pPr>
      <w:r>
        <w:t xml:space="preserve">Dans les trois hypothèses, l’accomplissement anticipé d’un acte procédural, par la production d’observations ou de documents, ou par tout autre acte, épuise le délai concerné sans qu’il soit nécessaire d’attendre le terme de la prorogation. Les décisions prennent effet le lendemain de leur adoption. La décision ADM 26 26 figure également au sommaire de septembre sous l’intitulé relatif aux audits de décisions de propriété intellectuelle et aux contrôles qualité associés. Son texte intégral n’a toutefois pas pu être consulté, de sorte que son champ matériel, ses modalités et sa date d’entrée en vigueur ne sont pas précisés. ([euipo.europa.eu](https://www.euipo.europa.eu/sk/law/communications-and-decisions-ed/official-journal?utm_source=openai))</w:t>
      </w:r>
    </w:p>
    <w:p>
      <w:pPr>
        <w:pBdr>
          <w:left w:val="single" w:color="507D82" w:sz="10" w:space="8"/>
        </w:pBdr>
        <w:spacing w:after="260" w:before="80"/>
        <w:ind w:left="180"/>
        <w:jc w:val="both"/>
      </w:pPr>
      <w:r>
        <w:rPr>
          <w:b/>
          <w:bCs/>
        </w:rPr>
        <w:t xml:space="preserve">Portée pratique. </w:t>
      </w:r>
      <w:r>
        <w:t xml:space="preserve">Les titulaires, demandeurs, opposants et représentants doivent vérifier si leur résidence ou siège social se situe dans l’un des trois États visés et, le cas échéant, recalculer les échéances couvertes par les décisions. La prorogation ne dispense pas d’accomplir les actes dès que les conditions opérationnelles le permettent, puisqu’un acte réalisé avant l’échéance prorogée met fin au bénéfice du délai étendu. La décision ADM 26 26 appelle une vérification ultérieure de son texte officiel avant toute appréciation de ses effets sur les processus décisionnels ou les contrôles internes de l’EUIPO. ([euipo.europa.eu](https://euipo.europa.eu/tunnel-web/secure/webdav/guest/document_library/contentPdfs/law_and_practice/decisions_president/EX-26-13_en.pdf))</w:t>
      </w:r>
    </w:p>
    <w:p>
      <w:pPr>
        <w:spacing w:after="140" w:before="260"/>
      </w:pPr>
      <w:r>
        <w:rPr>
          <w:i/>
          <w:iCs/>
          <w:color w:val="666666"/>
          <w:sz w:val="18"/>
          <w:szCs w:val="18"/>
        </w:rPr>
        <w:t xml:space="preserve">Cette sélection privilégie les sources primaires et les publications juridiquement documentées. Elle fait ressortir une décision récente du Tribunal de l’Union européenne en matière de marque, une décision de l’OEB relative aux garanties procédurales, les travaux du CSPLA sur le droit d’auteur et l’intelligence artificielle, ainsi que les évolutions européennes concernant les dessins et modèles. Une publication secondaire a été retenue uniquement pour son intérêt pratique et en l’absence de lien primaire identifié dans les résultats contrôlés.</w:t>
      </w:r>
    </w:p>
    <w:sectPr>
      <w:footerReference w:type="default" r:id="rId7"/>
      <w:pgSz w:w="11906" w:h="16838"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Veille IP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bosjsheahe7ih8eh3ivq" Type="http://schemas.openxmlformats.org/officeDocument/2006/relationships/hyperlink" Target="https://infocuria.curia.europa.eu/tabs/redirect/juris/showPdf.jsf?=1&amp;docid=92903&amp;doclang=EN" TargetMode="External"/><Relationship Id="rId6d51joldy0sop9tgeikef" Type="http://schemas.openxmlformats.org/officeDocument/2006/relationships/hyperlink" Target="https://www.epo.org/boards-of-appeal/decisions/pdf/j250010eu1.pdf" TargetMode="External"/><Relationship Id="rIdrlha-clmhue5hif62u5f7" Type="http://schemas.openxmlformats.org/officeDocument/2006/relationships/hyperlink" Target="https://www.culture.gouv.fr/mc/content/download/393318/pdf_file/CSPLA%20-%20CR%20s%C3%A9ance%2015.12.2025%20%284%29.pdf?inLanguage=fre-FR&amp;version=1" TargetMode="External"/><Relationship Id="rIdktu92x6lf_56gzgncngvn" Type="http://schemas.openxmlformats.org/officeDocument/2006/relationships/hyperlink" Target="https://guidelines.euipo.europa.eu/2318651/2445715/designs-guidelines/5-additional-requirements-regarding-formal-requirements-regarding-the-representation-representation-of-the-design-design" TargetMode="External"/><Relationship Id="rIdm_epn_z9ew2m5npp9ndhc" Type="http://schemas.openxmlformats.org/officeDocument/2006/relationships/hyperlink" Target="https://euipo.europa.eu/tunnel-web/secure/webdav/guest/document_library/contentPdfs/law_and_practice/decisions_president/EX-26-13_en.pd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Semaine du 28 août au 3 septembre 2026</dc:title>
  <dc:creator>Veille IP DLA</dc:creator>
  <dc:description>Veille hebdomadaire de propriété intellectuelle</dc:description>
  <cp:lastModifiedBy>Un-named</cp:lastModifiedBy>
  <cp:revision>1</cp:revision>
  <dcterms:created xsi:type="dcterms:W3CDTF">2026-09-03T14:29:46.181Z</dcterms:created>
  <dcterms:modified xsi:type="dcterms:W3CDTF">2026-09-03T14:29:46.181Z</dcterms:modified>
</cp:coreProperties>
</file>

<file path=docProps/custom.xml><?xml version="1.0" encoding="utf-8"?>
<Properties xmlns="http://schemas.openxmlformats.org/officeDocument/2006/custom-properties" xmlns:vt="http://schemas.openxmlformats.org/officeDocument/2006/docPropsVTypes"/>
</file>