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jc w:val="center"/>
      </w:pPr>
      <w:r>
        <w:rPr>
          <w:rFonts w:ascii="Arial" w:cs="Arial" w:eastAsia="Arial" w:hAnsi="Arial"/>
          <w:b/>
          <w:bCs/>
          <w:sz w:val="32"/>
          <w:szCs w:val="32"/>
        </w:rPr>
        <w:t xml:space="preserve">Veille Propriété intellectuelle</w:t>
      </w:r>
    </w:p>
    <w:p>
      <w:pPr>
        <w:spacing w:after="420"/>
        <w:jc w:val="center"/>
      </w:pPr>
      <w:r>
        <w:rPr>
          <w:rFonts w:ascii="Arial" w:cs="Arial" w:eastAsia="Arial" w:hAnsi="Arial"/>
          <w:sz w:val="22"/>
          <w:szCs w:val="22"/>
        </w:rPr>
        <w:t xml:space="preserve">Du 31 août au 6 septembre 2026</w:t>
      </w:r>
    </w:p>
    <w:p>
      <w:pPr>
        <w:pStyle w:val="Heading1"/>
        <w:pBdr>
          <w:bottom w:val="single" w:color="222222" w:sz="6" w:space="6"/>
        </w:pBdr>
        <w:spacing w:after="180" w:before="240"/>
      </w:pPr>
      <w:r>
        <w:rPr>
          <w:b/>
          <w:bCs/>
        </w:rPr>
        <w:t xml:space="preserve">JURISPRUDENCES</w:t>
      </w:r>
    </w:p>
    <w:p>
      <w:pPr>
        <w:pStyle w:val="Heading2"/>
        <w:keepNext/>
        <w:spacing w:after="100" w:before="180"/>
      </w:pPr>
      <w:r>
        <w:rPr>
          <w:b/>
          <w:bCs/>
          <w:color w:val="1F4E79"/>
        </w:rPr>
        <w:t xml:space="preserve">Marques de l’Union européenne : Arrêt dans l’affaire T-49/24, Stratio Big Data / EUIPO, Stra, concernant la marque de l’Union européenne « stratio »</w:t>
      </w:r>
    </w:p>
    <w:tbl>
      <w:tblPr>
        <w:tblW w:type="dxa" w:w="9866"/>
        <w:tblBorders>
          <w:top w:val="none" w:color="FFFFFF" w:sz="0"/>
          <w:left w:val="none" w:color="FFFFFF" w:sz="0"/>
          <w:bottom w:val="none" w:color="FFFFFF" w:sz="0"/>
          <w:right w:val="none" w:color="FFFFFF" w:sz="0"/>
          <w:insideH w:val="none" w:color="FFFFFF" w:sz="0"/>
          <w:insideV w:val="none" w:color="FFFFFF" w:sz="0"/>
        </w:tblBorders>
      </w:tblPr>
      <w:tblGrid>
        <w:gridCol w:w="9866"/>
      </w:tblGrid>
      <w:tr>
        <w:tc>
          <w:tcPr>
            <w:tcW w:type="dxa" w:w="9866"/>
            <w:tcBorders>
              <w:top w:val="single" w:color="7F7F7F" w:sz="6"/>
              <w:left w:val="single" w:color="7F7F7F" w:sz="6"/>
              <w:bottom w:val="none" w:color="FFFFFF" w:sz="0"/>
              <w:right w:val="single" w:color="7F7F7F" w:sz="6"/>
            </w:tcBorders>
            <w:tcMar>
              <w:top w:type="dxa" w:w="120"/>
              <w:left w:type="dxa" w:w="180"/>
              <w:bottom w:type="dxa" w:w="20"/>
              <w:right w:type="dxa" w:w="180"/>
            </w:tcMar>
          </w:tcPr>
          <w:p>
            <w:pPr>
              <w:keepNext/>
              <w:spacing w:after="240"/>
            </w:pPr>
            <w:hyperlink w:history="1" r:id="rIdjlcny7s4fvzcqcvmzt5y7">
              <w:r>
                <w:rPr>
                  <w:color w:val="507D82"/>
                  <w:u w:val="single"/>
                </w:rPr>
                <w:t xml:space="preserve">Tribunal de l’Union européenne, affaire T-49/24, arrêt du 2 septembre 2026, 2 septembre 2026</w:t>
              </w:r>
            </w:hyperlink>
          </w:p>
        </w:tc>
      </w:tr>
      <w:tr>
        <w:tc>
          <w:tcPr>
            <w:tcW w:type="dxa" w:w="9866"/>
            <w:tcBorders>
              <w:top w:val="none" w:color="FFFFFF" w:sz="0"/>
              <w:left w:val="single" w:color="7F7F7F" w:sz="6"/>
              <w:bottom w:val="none" w:color="FFFFFF" w:sz="0"/>
              <w:right w:val="single" w:color="7F7F7F" w:sz="6"/>
            </w:tcBorders>
            <w:tcMar>
              <w:top w:type="dxa" w:w="20"/>
              <w:left w:type="dxa" w:w="180"/>
              <w:bottom w:type="dxa" w:w="20"/>
              <w:right w:type="dxa" w:w="180"/>
            </w:tcMar>
          </w:tcPr>
          <w:p>
            <w:pPr>
              <w:keepLines/>
              <w:spacing w:after="130" w:line="276"/>
              <w:jc w:val="both"/>
            </w:pPr>
            <w:r>
              <w:t xml:space="preserve">Par cet arrêt, le Tribunal précise les conséquences de l’absence de communication effective des traductions d’éléments de preuve dans une procédure inter partes de déchéance pour défaut d’usage sérieux. L’EUIPO ne peut fonder sa décision sur des preuves au sujet desquelles une partie n’a pas été mise en mesure de présenter utilement ses observations, lorsque cette carence résulte d’un incident technique affectant son système de gestion documentaire.</w:t>
            </w:r>
          </w:p>
        </w:tc>
      </w:tr>
      <w:tr>
        <w:tc>
          <w:tcPr>
            <w:tcW w:type="dxa" w:w="9866"/>
            <w:tcBorders>
              <w:top w:val="none" w:color="FFFFFF" w:sz="0"/>
              <w:left w:val="single" w:color="7F7F7F" w:sz="6"/>
              <w:bottom w:val="none" w:color="FFFFFF" w:sz="0"/>
              <w:right w:val="single" w:color="7F7F7F" w:sz="6"/>
            </w:tcBorders>
            <w:tcMar>
              <w:top w:type="dxa" w:w="20"/>
              <w:left w:type="dxa" w:w="180"/>
              <w:bottom w:type="dxa" w:w="20"/>
              <w:right w:type="dxa" w:w="180"/>
            </w:tcMar>
          </w:tcPr>
          <w:p>
            <w:pPr>
              <w:keepLines/>
              <w:spacing w:after="130" w:line="276"/>
              <w:jc w:val="both"/>
            </w:pPr>
            <w:r>
              <w:t xml:space="preserve">Le 27 février 2020, Stratio Big Data Inc. a sollicité la déchéance de la marque verbale de l’Union européenne « stratio », enregistrée à la suite d’une demande déposée le 2 septembre 2014 par Stra SA. La demande, fondée sur l’absence d’usage sérieux durant une période ininterrompue de cinq ans, au sens de l’article 58, paragraphe 1, sous a), du règlement 2017/1001, concernait des services des classes 35 et 42. Stra avait produit vingt-deux éléments de preuve, puis leurs traductions en espagnol, langue de procédure. La division d’annulation a prononcé la déchéance pour la plupart des services, tout en maintenant l’enregistrement pour certains services de conception d’ordinateurs et de logiciels ainsi que pour des services des technologies de l’information, relevant de la classe 42. La quatrième chambre de recours a rejeté le recours principal de Stratio Big Data et le recours incident de Stra. Devant le Tribunal, l’EUIPO a identifié un incident technique ayant empêché la transmission à la requérante de certaines traductions contenues dans des fichiers PDF à couches. Après suspension et reprise de la procédure, l’EUIPO a conclu lui-même à l’annulation de la décision attaquée.</w:t>
            </w:r>
          </w:p>
        </w:tc>
      </w:tr>
      <w:tr>
        <w:tc>
          <w:tcPr>
            <w:tcW w:type="dxa" w:w="9866"/>
            <w:tcBorders>
              <w:top w:val="none" w:color="FFFFFF" w:sz="0"/>
              <w:left w:val="single" w:color="7F7F7F" w:sz="6"/>
              <w:bottom w:val="none" w:color="FFFFFF" w:sz="0"/>
              <w:right w:val="single" w:color="7F7F7F" w:sz="6"/>
            </w:tcBorders>
            <w:tcMar>
              <w:top w:type="dxa" w:w="20"/>
              <w:left w:type="dxa" w:w="180"/>
              <w:bottom w:type="dxa" w:w="20"/>
              <w:right w:type="dxa" w:w="180"/>
            </w:tcMar>
          </w:tcPr>
          <w:p>
            <w:pPr>
              <w:keepLines/>
              <w:spacing w:after="130" w:line="276"/>
              <w:jc w:val="both"/>
            </w:pPr>
            <w:r>
              <w:t xml:space="preserve">La requérante soutenait n’avoir reçu ni les traductions de certaines annexes ni l’intégralité des traductions d’autres pièces. Elle faisait notamment valoir qu’elle n’avait pu prendre utilement position sur l’annexe 11a-11f, qui ne se limitait pas à des données chiffrées ou à des images et nécessitait une traduction afin d’identifier le contenu des documents et les services concernés. L’EUIPO a reconnu que la chambre de recours s’était fondée sur des éléments dont les traductions n’avaient pas été communiquées et qu’une incidence sur l’issue du litige ne pouvait être exclue. Stra faisait valoir avoir régulièrement déposé les traductions requises et soutenait que les droits de la défense avaient été respectés, notamment parce que la requérante comprenait l’anglais.</w:t>
            </w:r>
          </w:p>
        </w:tc>
      </w:tr>
      <w:tr>
        <w:tc>
          <w:tcPr>
            <w:tcW w:type="dxa" w:w="9866"/>
            <w:tcBorders>
              <w:top w:val="none" w:color="FFFFFF" w:sz="0"/>
              <w:left w:val="single" w:color="7F7F7F" w:sz="6"/>
              <w:bottom w:val="none" w:color="FFFFFF" w:sz="0"/>
              <w:right w:val="single" w:color="7F7F7F" w:sz="6"/>
            </w:tcBorders>
            <w:tcMar>
              <w:top w:type="dxa" w:w="20"/>
              <w:left w:type="dxa" w:w="180"/>
              <w:bottom w:type="dxa" w:w="20"/>
              <w:right w:type="dxa" w:w="180"/>
            </w:tcMar>
          </w:tcPr>
          <w:p>
            <w:pPr>
              <w:keepLines/>
              <w:spacing w:after="130" w:line="276"/>
              <w:jc w:val="both"/>
            </w:pPr>
            <w:r>
              <w:t xml:space="preserve">La chambre de recours pouvait-elle retenir l’usage sérieux de la marque contestée en s’appuyant sur des éléments de preuve dont les traductions, quoique déposées par leur auteur, n’avaient pas été transmises à l’autre partie en raison d’un incident technique imputable à l’EUIPO, et cette irrégularité justifiait-elle l’annulation de sa décision ?</w:t>
            </w:r>
          </w:p>
        </w:tc>
      </w:tr>
      <w:tr>
        <w:tc>
          <w:tcPr>
            <w:tcW w:type="dxa" w:w="9866"/>
            <w:tcBorders>
              <w:top w:val="none" w:color="FFFFFF" w:sz="0"/>
              <w:left w:val="single" w:color="7F7F7F" w:sz="6"/>
              <w:bottom w:val="none" w:color="FFFFFF" w:sz="0"/>
              <w:right w:val="single" w:color="7F7F7F" w:sz="6"/>
            </w:tcBorders>
            <w:tcMar>
              <w:top w:type="dxa" w:w="20"/>
              <w:left w:type="dxa" w:w="180"/>
              <w:bottom w:type="dxa" w:w="20"/>
              <w:right w:type="dxa" w:w="180"/>
            </w:tcMar>
          </w:tcPr>
          <w:p>
            <w:pPr>
              <w:keepLines/>
              <w:spacing w:after="130" w:line="276"/>
              <w:jc w:val="both"/>
            </w:pPr>
            <w:r>
              <w:t xml:space="preserve">Le Tribunal rappelle que les preuves produites dans une langue autre que celle de la procédure doivent être accompagnées d’une traduction, cette exigence participant au respect du contradictoire et de l’égalité des armes. En vertu de l’article 94, paragraphe 1, deuxième phrase, du règlement 2017/1001, les décisions de l’EUIPO ne peuvent être fondées que sur des motifs ou des preuves au sujet desquels les parties ont pu prendre position. L’EUIPO doit donc leur permettre de faire valoir utilement leur point de vue sur l’ensemble des éléments retenus. En l’espèce, la chambre de recours s’était fondée sur l’annexe 11a-11f pour établir l’usage sérieux concernant les services de conception d’ordinateurs et de logiciels, et l’avait également prise en compte dans son appréciation globale des services des technologies de l’information. La requérante n’avait ainsi pas pu débattre utilement d’une pièce essentielle d’environ quatre-vingt-dix pages. Le Tribunal relève que l’annulation suppose seulement que l’irrégularité ait eu une incidence concrète sur l’exercice des droits de la défense, sans que la partie concernée ait à prouver qu’une décision différente aurait nécessairement été adoptée. Compte tenu de l’importance de l’annexe litigieuse, une issue différente ne pouvait être exclue. L’argument tiré de la compréhension supposée de l’anglais est écarté, dès lors que la langue de procédure était l’espagnol et que la représentation de la requérante avait été organisée en considération de cette langue.</w:t>
            </w:r>
          </w:p>
        </w:tc>
      </w:tr>
      <w:tr>
        <w:tc>
          <w:tcPr>
            <w:tcW w:type="dxa" w:w="9866"/>
            <w:tcBorders>
              <w:top w:val="none" w:color="FFFFFF" w:sz="0"/>
              <w:left w:val="single" w:color="7F7F7F" w:sz="6"/>
              <w:bottom w:val="none" w:color="FFFFFF" w:sz="0"/>
              <w:right w:val="single" w:color="7F7F7F" w:sz="6"/>
            </w:tcBorders>
            <w:tcMar>
              <w:top w:type="dxa" w:w="20"/>
              <w:left w:type="dxa" w:w="180"/>
              <w:bottom w:type="dxa" w:w="20"/>
              <w:right w:type="dxa" w:w="180"/>
            </w:tcMar>
          </w:tcPr>
          <w:p>
            <w:pPr>
              <w:keepLines/>
              <w:spacing w:after="130" w:line="276"/>
              <w:jc w:val="both"/>
            </w:pPr>
            <w:r>
              <w:t xml:space="preserve">Le Tribunal accueille le grief tiré de la violation des droits de la défense et de l’article 94, paragraphe 1, deuxième phrase, du règlement 2017/1001. Il annule la décision de la quatrième chambre de recours du 20 novembre 2023, dans l’affaire R 999/2022-4, en tant qu’elle avait rejeté le recours de Stratio Big Data Inc. Il n’examine pas les autres moyens et condamne l’EUIPO aux dépens de l’instance. La chambre de recours devra statuer, à la lumière de l’arrêt, sur les frais afférents à la procédure devant elle.</w:t>
            </w:r>
          </w:p>
        </w:tc>
      </w:tr>
      <w:tr>
        <w:tc>
          <w:tcPr>
            <w:tcW w:type="dxa" w:w="9866"/>
            <w:tcBorders>
              <w:top w:val="none" w:color="FFFFFF" w:sz="0"/>
              <w:left w:val="single" w:color="7F7F7F" w:sz="6"/>
              <w:bottom w:val="single" w:color="7F7F7F" w:sz="6"/>
              <w:right w:val="single" w:color="7F7F7F" w:sz="6"/>
            </w:tcBorders>
            <w:tcMar>
              <w:top w:type="dxa" w:w="20"/>
              <w:left w:type="dxa" w:w="180"/>
              <w:bottom w:type="dxa" w:w="120"/>
              <w:right w:type="dxa" w:w="180"/>
            </w:tcMar>
          </w:tcPr>
          <w:p>
            <w:pPr>
              <w:pBdr>
                <w:left w:val="single" w:color="507D82" w:sz="10" w:space="8"/>
              </w:pBdr>
              <w:spacing w:after="260" w:before="80"/>
              <w:ind w:left="180"/>
              <w:jc w:val="both"/>
            </w:pPr>
            <w:r>
              <w:rPr>
                <w:b/>
                <w:bCs/>
              </w:rPr>
              <w:t xml:space="preserve">Portée pratique. </w:t>
            </w:r>
            <w:r>
              <w:t xml:space="preserve">L’arrêt souligne que le dépôt régulier d’une traduction ne suffit pas à satisfaire aux exigences du contradictoire lorsque celle-ci n’est pas effectivement portée à la connaissance de la partie adverse. L’EUIPO doit garantir la communication des pièces et traductions sur lesquelles ses instances entendent fonder leur appréciation de l’usage sérieux. En présence d’une défaillance technique, l’annulation est encourue dès lors que la pièce non accessible a joué un rôle significatif et qu’il ne peut être exclu que la partie privée de ses observations aurait pu mieux assurer sa défense. La solution confirme que la langue de procédure demeure la référence pour apprécier l’effectivité du droit d’être entendu.</w:t>
            </w:r>
          </w:p>
        </w:tc>
      </w:tr>
    </w:tbl>
    <w:p>
      <w:pPr>
        <w:pStyle w:val="Heading2"/>
        <w:keepNext/>
        <w:spacing w:after="100" w:before="180"/>
      </w:pPr>
      <w:r>
        <w:rPr>
          <w:b/>
          <w:bCs/>
          <w:color w:val="1F4E79"/>
        </w:rPr>
        <w:t xml:space="preserve">Marques et signes distinctifs : Arrêt dans l’affaire T-376/25, Puma / EUIPO, Sir Safety System, concernant la représentation d’une semelle de chaussure</w:t>
      </w:r>
    </w:p>
    <w:tbl>
      <w:tblPr>
        <w:tblW w:type="dxa" w:w="9866"/>
        <w:tblBorders>
          <w:top w:val="none" w:color="FFFFFF" w:sz="0"/>
          <w:left w:val="none" w:color="FFFFFF" w:sz="0"/>
          <w:bottom w:val="none" w:color="FFFFFF" w:sz="0"/>
          <w:right w:val="none" w:color="FFFFFF" w:sz="0"/>
          <w:insideH w:val="none" w:color="FFFFFF" w:sz="0"/>
          <w:insideV w:val="none" w:color="FFFFFF" w:sz="0"/>
        </w:tblBorders>
      </w:tblPr>
      <w:tblGrid>
        <w:gridCol w:w="9866"/>
      </w:tblGrid>
      <w:tr>
        <w:tc>
          <w:tcPr>
            <w:tcW w:type="dxa" w:w="9866"/>
            <w:tcBorders>
              <w:top w:val="single" w:color="7F7F7F" w:sz="6"/>
              <w:left w:val="single" w:color="7F7F7F" w:sz="6"/>
              <w:bottom w:val="none" w:color="FFFFFF" w:sz="0"/>
              <w:right w:val="single" w:color="7F7F7F" w:sz="6"/>
            </w:tcBorders>
            <w:tcMar>
              <w:top w:type="dxa" w:w="120"/>
              <w:left w:type="dxa" w:w="180"/>
              <w:bottom w:type="dxa" w:w="20"/>
              <w:right w:type="dxa" w:w="180"/>
            </w:tcMar>
          </w:tcPr>
          <w:p>
            <w:pPr>
              <w:keepNext/>
              <w:spacing w:after="240"/>
            </w:pPr>
            <w:hyperlink w:history="1" r:id="rIdlzsakesimqibkhisjq0ne">
              <w:r>
                <w:rPr>
                  <w:color w:val="507D82"/>
                  <w:u w:val="single"/>
                </w:rPr>
                <w:t xml:space="preserve">Tribunal de l’Union européenne, affaire T-376/25, arrêt du 2 septembre 2026, 2 septembre 2026</w:t>
              </w:r>
            </w:hyperlink>
          </w:p>
        </w:tc>
      </w:tr>
      <w:tr>
        <w:tc>
          <w:tcPr>
            <w:tcW w:type="dxa" w:w="9866"/>
            <w:tcBorders>
              <w:top w:val="none" w:color="FFFFFF" w:sz="0"/>
              <w:left w:val="single" w:color="7F7F7F" w:sz="6"/>
              <w:bottom w:val="none" w:color="FFFFFF" w:sz="0"/>
              <w:right w:val="single" w:color="7F7F7F" w:sz="6"/>
            </w:tcBorders>
            <w:tcMar>
              <w:top w:type="dxa" w:w="20"/>
              <w:left w:type="dxa" w:w="180"/>
              <w:bottom w:type="dxa" w:w="20"/>
              <w:right w:type="dxa" w:w="180"/>
            </w:tcMar>
          </w:tcPr>
          <w:p>
            <w:pPr>
              <w:keepNext/>
              <w:spacing w:after="220"/>
              <w:jc w:val="both"/>
            </w:pPr>
            <w:r>
              <w:rPr>
                <w:b/>
                <w:bCs/>
                <w:i/>
                <w:iCs/>
                <w:color w:val="C55A11"/>
              </w:rPr>
              <w:t xml:space="preserve">Attention : les informations présentées dans cette section doivent être vérifiées, l’accès à la source étant incomplet, limité ou restreint.</w:t>
            </w:r>
          </w:p>
        </w:tc>
      </w:tr>
      <w:tr>
        <w:tc>
          <w:tcPr>
            <w:tcW w:type="dxa" w:w="9866"/>
            <w:tcBorders>
              <w:top w:val="none" w:color="FFFFFF" w:sz="0"/>
              <w:left w:val="single" w:color="7F7F7F" w:sz="6"/>
              <w:bottom w:val="none" w:color="FFFFFF" w:sz="0"/>
              <w:right w:val="single" w:color="7F7F7F" w:sz="6"/>
            </w:tcBorders>
            <w:tcMar>
              <w:top w:type="dxa" w:w="20"/>
              <w:left w:type="dxa" w:w="180"/>
              <w:bottom w:type="dxa" w:w="20"/>
              <w:right w:type="dxa" w:w="180"/>
            </w:tcMar>
          </w:tcPr>
          <w:p>
            <w:pPr>
              <w:keepLines/>
              <w:spacing w:after="130" w:line="276"/>
              <w:jc w:val="both"/>
            </w:pPr>
            <w:r>
              <w:t xml:space="preserve">Par arrêt du 2 septembre 2026, le Tribunal de l’Union européenne, statuant en septième chambre dans l’affaire T-376/25, a examiné le recours formé par Puma SE contre l’EUIPO, Sir Safety System SpA étant partie intervenante. Le litige s’inscrit dans une procédure en nullité relative aux effets, dans l’Union européenne, d’un dessin ou modèle international représentant une semelle de chaussure. L’arrêt est référencé sous l’ECLI:EU:T:2026:515 et le numéro CELEX 62025TJ0376.</w:t>
            </w:r>
          </w:p>
        </w:tc>
      </w:tr>
      <w:tr>
        <w:tc>
          <w:tcPr>
            <w:tcW w:type="dxa" w:w="9866"/>
            <w:tcBorders>
              <w:top w:val="none" w:color="FFFFFF" w:sz="0"/>
              <w:left w:val="single" w:color="7F7F7F" w:sz="6"/>
              <w:bottom w:val="none" w:color="FFFFFF" w:sz="0"/>
              <w:right w:val="single" w:color="7F7F7F" w:sz="6"/>
            </w:tcBorders>
            <w:tcMar>
              <w:top w:type="dxa" w:w="20"/>
              <w:left w:type="dxa" w:w="180"/>
              <w:bottom w:type="dxa" w:w="20"/>
              <w:right w:type="dxa" w:w="180"/>
            </w:tcMar>
          </w:tcPr>
          <w:p>
            <w:pPr>
              <w:keepLines/>
              <w:spacing w:after="130" w:line="276"/>
              <w:jc w:val="both"/>
            </w:pPr>
            <w:r>
              <w:t xml:space="preserve">Sir Safety System SpA a obtenu, le 18 juin 2021, auprès du Bureau international de l’Organisation mondiale de la propriété intellectuelle, l’enregistrement international no DM/214918, désignant l’Union européenne, pour le dessin ou modèle en cause. Le 28 janvier 2022, Puma a saisi l’EUIPO d’une demande tendant à la déclaration de nullité des effets de cet enregistrement international. Le recours devant le Tribunal visait l’annulation et la réformation de la décision de la troisième chambre de recours de l’EUIPO du 26 mars 2025, rendue dans l’affaire R 1137/2024-3.</w:t>
            </w:r>
          </w:p>
        </w:tc>
      </w:tr>
      <w:tr>
        <w:tc>
          <w:tcPr>
            <w:tcW w:type="dxa" w:w="9866"/>
            <w:tcBorders>
              <w:top w:val="none" w:color="FFFFFF" w:sz="0"/>
              <w:left w:val="single" w:color="7F7F7F" w:sz="6"/>
              <w:bottom w:val="none" w:color="FFFFFF" w:sz="0"/>
              <w:right w:val="single" w:color="7F7F7F" w:sz="6"/>
            </w:tcBorders>
            <w:tcMar>
              <w:top w:type="dxa" w:w="20"/>
              <w:left w:type="dxa" w:w="180"/>
              <w:bottom w:type="dxa" w:w="20"/>
              <w:right w:type="dxa" w:w="180"/>
            </w:tcMar>
          </w:tcPr>
          <w:p>
            <w:pPr>
              <w:keepLines/>
              <w:spacing w:after="130" w:line="276"/>
              <w:jc w:val="both"/>
            </w:pPr>
            <w:r>
              <w:t xml:space="preserve">Les moyens et arguments respectivement développés par Puma, l’EUIPO et Sir Safety System ne sont pas précisés dans les éléments de la source dont la consultation a pu être vérifiée. Il est toutefois établi que le litige portait sur le caractère individuel du dessin ou modèle contesté et sur l’appréciation de l’impression globale qu’il produit au regard des antériorités invoquées dans la procédure en nullité.</w:t>
            </w:r>
          </w:p>
        </w:tc>
      </w:tr>
      <w:tr>
        <w:tc>
          <w:tcPr>
            <w:tcW w:type="dxa" w:w="9866"/>
            <w:tcBorders>
              <w:top w:val="none" w:color="FFFFFF" w:sz="0"/>
              <w:left w:val="single" w:color="7F7F7F" w:sz="6"/>
              <w:bottom w:val="none" w:color="FFFFFF" w:sz="0"/>
              <w:right w:val="single" w:color="7F7F7F" w:sz="6"/>
            </w:tcBorders>
            <w:tcMar>
              <w:top w:type="dxa" w:w="20"/>
              <w:left w:type="dxa" w:w="180"/>
              <w:bottom w:type="dxa" w:w="20"/>
              <w:right w:type="dxa" w:w="180"/>
            </w:tcMar>
          </w:tcPr>
          <w:p>
            <w:pPr>
              <w:keepLines/>
              <w:spacing w:after="130" w:line="276"/>
              <w:jc w:val="both"/>
            </w:pPr>
            <w:r>
              <w:t xml:space="preserve">Le Tribunal était appelé à apprécier le bien-fondé de la décision de la chambre de recours relative à la nullité du dessin ou modèle international désignant l’Union européenne. Dans ce cadre, la question concernait l’application des conditions du caractère individuel, notamment l’existence d’une impression globale différente sur l’utilisateur averti, compte tenu du degré de liberté du créateur.</w:t>
            </w:r>
          </w:p>
        </w:tc>
      </w:tr>
      <w:tr>
        <w:tc>
          <w:tcPr>
            <w:tcW w:type="dxa" w:w="9866"/>
            <w:tcBorders>
              <w:top w:val="none" w:color="FFFFFF" w:sz="0"/>
              <w:left w:val="single" w:color="7F7F7F" w:sz="6"/>
              <w:bottom w:val="none" w:color="FFFFFF" w:sz="0"/>
              <w:right w:val="single" w:color="7F7F7F" w:sz="6"/>
            </w:tcBorders>
            <w:tcMar>
              <w:top w:type="dxa" w:w="20"/>
              <w:left w:type="dxa" w:w="180"/>
              <w:bottom w:type="dxa" w:w="20"/>
              <w:right w:type="dxa" w:w="180"/>
            </w:tcMar>
          </w:tcPr>
          <w:p>
            <w:pPr>
              <w:keepLines/>
              <w:spacing w:after="130" w:line="276"/>
              <w:jc w:val="both"/>
            </w:pPr>
            <w:r>
              <w:t xml:space="preserve">Le texte consulté vise l’article 25, paragraphe 1, sous b), et l’article 6, paragraphe 1, du règlement no 6/2002, dans leur version antérieure au règlement (UE) 2024/2822. Il fait également expressément référence aux paramètres classiques de l’examen du caractère individuel : l’impression globale produite par les dessins ou modèles comparés, le degré d’attention de l’utilisateur averti et le degré de liberté du créateur dans l’élaboration du produit. Ces éléments confirment que l’analyse du Tribunal se situait dans le cadre méthodologique propre au contrôle de la nouveauté perceptive et de la différenciation globale des dessins ou modèles. Les passages accessibles ne permettent pas d’établir les caractéristiques visuelles retenues, les antériorités concrètement comparées, ni la pondération que le Tribunal a donnée à chacun de ces critères.</w:t>
            </w:r>
          </w:p>
        </w:tc>
      </w:tr>
      <w:tr>
        <w:tc>
          <w:tcPr>
            <w:tcW w:type="dxa" w:w="9866"/>
            <w:tcBorders>
              <w:top w:val="none" w:color="FFFFFF" w:sz="0"/>
              <w:left w:val="single" w:color="7F7F7F" w:sz="6"/>
              <w:bottom w:val="none" w:color="FFFFFF" w:sz="0"/>
              <w:right w:val="single" w:color="7F7F7F" w:sz="6"/>
            </w:tcBorders>
            <w:tcMar>
              <w:top w:type="dxa" w:w="20"/>
              <w:left w:type="dxa" w:w="180"/>
              <w:bottom w:type="dxa" w:w="20"/>
              <w:right w:type="dxa" w:w="180"/>
            </w:tcMar>
          </w:tcPr>
          <w:p>
            <w:pPr>
              <w:keepLines/>
              <w:spacing w:after="130" w:line="276"/>
              <w:jc w:val="both"/>
            </w:pPr>
            <w:r>
              <w:t xml:space="preserve">Le dispositif de l’arrêt n’a pas pu être vérifié de manière autonome dans les limites de consultation disponibles. Il n’est dès lors pas possible d’indiquer, sans excéder les éléments vérifiés, si le Tribunal a accueilli, rejeté ou partiellement accueilli le recours de Puma, ni de déterminer le sort de la décision de la troisième chambre de recours de l’EUIPO.</w:t>
            </w:r>
          </w:p>
        </w:tc>
      </w:tr>
      <w:tr>
        <w:tc>
          <w:tcPr>
            <w:tcW w:type="dxa" w:w="9866"/>
            <w:tcBorders>
              <w:top w:val="none" w:color="FFFFFF" w:sz="0"/>
              <w:left w:val="single" w:color="7F7F7F" w:sz="6"/>
              <w:bottom w:val="single" w:color="7F7F7F" w:sz="6"/>
              <w:right w:val="single" w:color="7F7F7F" w:sz="6"/>
            </w:tcBorders>
            <w:tcMar>
              <w:top w:type="dxa" w:w="20"/>
              <w:left w:type="dxa" w:w="180"/>
              <w:bottom w:type="dxa" w:w="120"/>
              <w:right w:type="dxa" w:w="180"/>
            </w:tcMar>
          </w:tcPr>
          <w:p>
            <w:pPr>
              <w:pBdr>
                <w:left w:val="single" w:color="507D82" w:sz="10" w:space="8"/>
              </w:pBdr>
              <w:spacing w:after="260" w:before="80"/>
              <w:ind w:left="180"/>
              <w:jc w:val="both"/>
            </w:pPr>
            <w:r>
              <w:rPr>
                <w:b/>
                <w:bCs/>
              </w:rPr>
              <w:t xml:space="preserve">Portée pratique. </w:t>
            </w:r>
            <w:r>
              <w:t xml:space="preserve">L’arrêt rappelle, dans le champ des dessins ou modèles, que la contestation du caractère individuel se structure autour de l’impression globale produite sur l’utilisateur averti, appréciée en tenant compte de son degré d’attention et de la liberté du créateur. Pour les titulaires et demandeurs de droits portant sur des éléments de produits, tels qu’une semelle de chaussure, ces critères commandent une identification rigoureuse des caractéristiques visuelles pertinentes et des contraintes susceptibles d’affecter la liberté de conception. La portée précise de la décision demeure toutefois à vérifier au regard du dispositif non accessible.</w:t>
            </w:r>
          </w:p>
        </w:tc>
      </w:tr>
    </w:tbl>
    <w:p>
      <w:pPr>
        <w:pStyle w:val="Heading2"/>
        <w:keepNext/>
        <w:spacing w:after="100" w:before="180"/>
      </w:pPr>
      <w:r>
        <w:rPr>
          <w:b/>
          <w:bCs/>
          <w:color w:val="1F4E79"/>
        </w:rPr>
        <w:t xml:space="preserve">Marques et concurrence déloyale : Compétence juridictionnelle en matière de marque et de concurrence déloyale après le retrait de la marque</w:t>
      </w:r>
    </w:p>
    <w:tbl>
      <w:tblPr>
        <w:tblW w:type="dxa" w:w="9866"/>
        <w:tblBorders>
          <w:top w:val="none" w:color="FFFFFF" w:sz="0"/>
          <w:left w:val="none" w:color="FFFFFF" w:sz="0"/>
          <w:bottom w:val="none" w:color="FFFFFF" w:sz="0"/>
          <w:right w:val="none" w:color="FFFFFF" w:sz="0"/>
          <w:insideH w:val="none" w:color="FFFFFF" w:sz="0"/>
          <w:insideV w:val="none" w:color="FFFFFF" w:sz="0"/>
        </w:tblBorders>
      </w:tblPr>
      <w:tblGrid>
        <w:gridCol w:w="9866"/>
      </w:tblGrid>
      <w:tr>
        <w:tc>
          <w:tcPr>
            <w:tcW w:type="dxa" w:w="9866"/>
            <w:tcBorders>
              <w:top w:val="single" w:color="7F7F7F" w:sz="6"/>
              <w:left w:val="single" w:color="7F7F7F" w:sz="6"/>
              <w:bottom w:val="none" w:color="FFFFFF" w:sz="0"/>
              <w:right w:val="single" w:color="7F7F7F" w:sz="6"/>
            </w:tcBorders>
            <w:tcMar>
              <w:top w:type="dxa" w:w="120"/>
              <w:left w:type="dxa" w:w="180"/>
              <w:bottom w:type="dxa" w:w="20"/>
              <w:right w:type="dxa" w:w="180"/>
            </w:tcMar>
          </w:tcPr>
          <w:p>
            <w:pPr>
              <w:keepNext/>
              <w:spacing w:after="240"/>
            </w:pPr>
            <w:hyperlink w:history="1" r:id="rId3gimjbzeh3tpa9zrd1ac7">
              <w:r>
                <w:rPr>
                  <w:color w:val="507D82"/>
                  <w:u w:val="single"/>
                </w:rPr>
                <w:t xml:space="preserve">Cour de cassation, chambre commerciale, financière et économique, pourvoi n° 25-12.118, arrêt publié au Bulletin du 2 septembre 2026, 2 septembre 2026</w:t>
              </w:r>
            </w:hyperlink>
          </w:p>
        </w:tc>
      </w:tr>
      <w:tr>
        <w:tc>
          <w:tcPr>
            <w:tcW w:type="dxa" w:w="9866"/>
            <w:tcBorders>
              <w:top w:val="none" w:color="FFFFFF" w:sz="0"/>
              <w:left w:val="single" w:color="7F7F7F" w:sz="6"/>
              <w:bottom w:val="none" w:color="FFFFFF" w:sz="0"/>
              <w:right w:val="single" w:color="7F7F7F" w:sz="6"/>
            </w:tcBorders>
            <w:tcMar>
              <w:top w:type="dxa" w:w="20"/>
              <w:left w:type="dxa" w:w="180"/>
              <w:bottom w:type="dxa" w:w="20"/>
              <w:right w:type="dxa" w:w="180"/>
            </w:tcMar>
          </w:tcPr>
          <w:p>
            <w:pPr>
              <w:keepLines/>
              <w:spacing w:after="130" w:line="276"/>
              <w:jc w:val="both"/>
            </w:pPr>
            <w:r>
              <w:t xml:space="preserve">Cet arrêt précise la délimitation de la compétence matérielle entre les juridictions de droit commun commercial et les juridictions judiciaires spécialement compétentes en matière de marques. La Cour de cassation retient que la seule circonstance qu’un signe ait fait l’objet d’un dépôt à titre de marque ne suffit pas à attirer le litige dans le champ de la compétence spéciale lorsque l’action effectivement soumise au juge est une action en concurrence déloyale fondée sur l’atteinte alléguée à une dénomination sociale et à un nom commercial. La solution est expressément rattachée au retrait de la marque antérieurement à la décision statuant sur l’exception d’incompétence.</w:t>
            </w:r>
          </w:p>
        </w:tc>
      </w:tr>
      <w:tr>
        <w:tc>
          <w:tcPr>
            <w:tcW w:type="dxa" w:w="9866"/>
            <w:tcBorders>
              <w:top w:val="none" w:color="FFFFFF" w:sz="0"/>
              <w:left w:val="single" w:color="7F7F7F" w:sz="6"/>
              <w:bottom w:val="none" w:color="FFFFFF" w:sz="0"/>
              <w:right w:val="single" w:color="7F7F7F" w:sz="6"/>
            </w:tcBorders>
            <w:tcMar>
              <w:top w:type="dxa" w:w="20"/>
              <w:left w:type="dxa" w:w="180"/>
              <w:bottom w:type="dxa" w:w="20"/>
              <w:right w:type="dxa" w:w="180"/>
            </w:tcMar>
          </w:tcPr>
          <w:p>
            <w:pPr>
              <w:keepLines/>
              <w:spacing w:after="130" w:line="276"/>
              <w:jc w:val="both"/>
            </w:pPr>
            <w:r>
              <w:t xml:space="preserve">La société Guyane pièces auto, constituée sous la forme d’une société à responsabilité limitée, a assigné une société par actions simplifiée dénommée Guyane pièces auto devant le tribunal mixte de commerce de Cayenne. Elle lui reprochait des actes de concurrence déloyale consistant dans l’usurpation de sa dénomination sociale et de son nom commercial. La société défenderesse a opposé l’incompétence matérielle de cette juridiction au profit du tribunal judiciaire de Fort-de-France. Elle soutenait que le litige portait sur l’usage du signe GPA Guyane pièces auto, qu’elle avait déposé à titre de marque auprès de l’Institut national de la propriété industrielle. Par jugement du 23 juin 2023, le tribunal mixte de commerce de Cayenne s’est prononcé sur cette exception. La cour d’appel de Cayenne, par arrêt du 25 novembre 2024, a retenu que l’action en cessation de l’utilisation de la dénomination sociale, quoique présentée sous l’angle de la concurrence déloyale, se rattachait à une demande relative à une marque. Elle a considéré que cette analyse demeurait justifiée malgré le retrait de la marque. La société Guyane pièces auto a formé un pourvoi contre cet arrêt.</w:t>
            </w:r>
          </w:p>
        </w:tc>
      </w:tr>
      <w:tr>
        <w:tc>
          <w:tcPr>
            <w:tcW w:type="dxa" w:w="9866"/>
            <w:tcBorders>
              <w:top w:val="none" w:color="FFFFFF" w:sz="0"/>
              <w:left w:val="single" w:color="7F7F7F" w:sz="6"/>
              <w:bottom w:val="none" w:color="FFFFFF" w:sz="0"/>
              <w:right w:val="single" w:color="7F7F7F" w:sz="6"/>
            </w:tcBorders>
            <w:tcMar>
              <w:top w:type="dxa" w:w="20"/>
              <w:left w:type="dxa" w:w="180"/>
              <w:bottom w:type="dxa" w:w="20"/>
              <w:right w:type="dxa" w:w="180"/>
            </w:tcMar>
          </w:tcPr>
          <w:p>
            <w:pPr>
              <w:keepLines/>
              <w:spacing w:after="130" w:line="276"/>
              <w:jc w:val="both"/>
            </w:pPr>
            <w:r>
              <w:t xml:space="preserve">La demanderesse au pourvoi faisait valoir que l’action engagée ne nécessitait pas de statuer sur l’existence, la validité ou la violation d’un droit de marque, mais concernait exclusivement l’usurpation alléguée de signes distinctifs relevant de la dénomination sociale et du nom commercial. La défenderesse fondait, pour sa part, son exception d’incompétence sur le dépôt du signe GPA Guyane pièces auto à titre de marque et sur l’existence alléguée d’une question connexe relevant du droit des marques. Les éléments disponibles ne précisent pas davantage les développements respectifs des parties devant la Cour de cassation.</w:t>
            </w:r>
          </w:p>
        </w:tc>
      </w:tr>
      <w:tr>
        <w:tc>
          <w:tcPr>
            <w:tcW w:type="dxa" w:w="9866"/>
            <w:tcBorders>
              <w:top w:val="none" w:color="FFFFFF" w:sz="0"/>
              <w:left w:val="single" w:color="7F7F7F" w:sz="6"/>
              <w:bottom w:val="none" w:color="FFFFFF" w:sz="0"/>
              <w:right w:val="single" w:color="7F7F7F" w:sz="6"/>
            </w:tcBorders>
            <w:tcMar>
              <w:top w:type="dxa" w:w="20"/>
              <w:left w:type="dxa" w:w="180"/>
              <w:bottom w:type="dxa" w:w="20"/>
              <w:right w:type="dxa" w:w="180"/>
            </w:tcMar>
          </w:tcPr>
          <w:p>
            <w:pPr>
              <w:keepLines/>
              <w:spacing w:after="130" w:line="276"/>
              <w:jc w:val="both"/>
            </w:pPr>
            <w:r>
              <w:t xml:space="preserve">Une action en concurrence déloyale fondée sur l’usurpation d’une dénomination sociale et d’un nom commercial doit-elle relever de la compétence spéciale applicable aux litiges de marques lorsque le signe invoqué par le défendeur a été déposé comme marque, mais que cette marque a été retirée avant que le tribunal statue sur l’exception d’incompétence ?</w:t>
            </w:r>
          </w:p>
        </w:tc>
      </w:tr>
      <w:tr>
        <w:tc>
          <w:tcPr>
            <w:tcW w:type="dxa" w:w="9866"/>
            <w:tcBorders>
              <w:top w:val="none" w:color="FFFFFF" w:sz="0"/>
              <w:left w:val="single" w:color="7F7F7F" w:sz="6"/>
              <w:bottom w:val="none" w:color="FFFFFF" w:sz="0"/>
              <w:right w:val="single" w:color="7F7F7F" w:sz="6"/>
            </w:tcBorders>
            <w:tcMar>
              <w:top w:type="dxa" w:w="20"/>
              <w:left w:type="dxa" w:w="180"/>
              <w:bottom w:type="dxa" w:w="20"/>
              <w:right w:type="dxa" w:w="180"/>
            </w:tcMar>
          </w:tcPr>
          <w:p>
            <w:pPr>
              <w:keepLines/>
              <w:spacing w:after="130" w:line="276"/>
              <w:jc w:val="both"/>
            </w:pPr>
            <w:r>
              <w:t xml:space="preserve">La Cour de cassation censure le raisonnement de la cour d’appel. Elle relève que la demande litigieuse était fondée sur l’usurpation d’une dénomination sociale et d’un nom commercial. Une telle demande n’impliquait ni l’examen de l’existence d’un droit attaché à une marque, ni celui de la méconnaissance d’un tel droit. Elle ne commandait pas davantage la mise en œuvre des règles spécifiques du droit de la propriété intellectuelle applicables aux marques. La Haute juridiction attache une importance déterminante à la circonstance que la marque avait été retirée avant que le tribunal statue sur l’exception d’incompétence. Dans ce contexte, le rattachement du litige au contentieux des marques ne pouvait résulter de la seule existence passée du dépôt invoqué par la défenderesse. La demande conservait ainsi sa nature d’action en concurrence déloyale relative à des signes distinctifs de l’entreprise, sans question de marque à trancher.</w:t>
            </w:r>
          </w:p>
        </w:tc>
      </w:tr>
      <w:tr>
        <w:tc>
          <w:tcPr>
            <w:tcW w:type="dxa" w:w="9866"/>
            <w:tcBorders>
              <w:top w:val="none" w:color="FFFFFF" w:sz="0"/>
              <w:left w:val="single" w:color="7F7F7F" w:sz="6"/>
              <w:bottom w:val="none" w:color="FFFFFF" w:sz="0"/>
              <w:right w:val="single" w:color="7F7F7F" w:sz="6"/>
            </w:tcBorders>
            <w:tcMar>
              <w:top w:type="dxa" w:w="20"/>
              <w:left w:type="dxa" w:w="180"/>
              <w:bottom w:type="dxa" w:w="20"/>
              <w:right w:type="dxa" w:w="180"/>
            </w:tcMar>
          </w:tcPr>
          <w:p>
            <w:pPr>
              <w:keepLines/>
              <w:spacing w:after="130" w:line="276"/>
              <w:jc w:val="both"/>
            </w:pPr>
            <w:r>
              <w:t xml:space="preserve">La Cour de cassation casse et annule en toutes ses dispositions l’arrêt rendu le 25 novembre 2024 par la cour d’appel de Cayenne. Elle statue sans renvoi. Elle infirme en toutes ses dispositions le jugement du tribunal mixte de commerce de Cayenne du 23 juin 2023 et déclare cette juridiction matériellement compétente pour connaître du litige, considéré comme une action en concurrence déloyale fondée sur l’usurpation d’une dénomination sociale et d’un nom commercial. L’arrêt est publié au Bulletin.</w:t>
            </w:r>
          </w:p>
        </w:tc>
      </w:tr>
      <w:tr>
        <w:tc>
          <w:tcPr>
            <w:tcW w:type="dxa" w:w="9866"/>
            <w:tcBorders>
              <w:top w:val="none" w:color="FFFFFF" w:sz="0"/>
              <w:left w:val="single" w:color="7F7F7F" w:sz="6"/>
              <w:bottom w:val="single" w:color="7F7F7F" w:sz="6"/>
              <w:right w:val="single" w:color="7F7F7F" w:sz="6"/>
            </w:tcBorders>
            <w:tcMar>
              <w:top w:type="dxa" w:w="20"/>
              <w:left w:type="dxa" w:w="180"/>
              <w:bottom w:type="dxa" w:w="120"/>
              <w:right w:type="dxa" w:w="180"/>
            </w:tcMar>
          </w:tcPr>
          <w:p>
            <w:pPr>
              <w:pBdr>
                <w:left w:val="single" w:color="507D82" w:sz="10" w:space="8"/>
              </w:pBdr>
              <w:spacing w:after="260" w:before="80"/>
              <w:ind w:left="180"/>
              <w:jc w:val="both"/>
            </w:pPr>
            <w:r>
              <w:rPr>
                <w:b/>
                <w:bCs/>
              </w:rPr>
              <w:t xml:space="preserve">Portée pratique. </w:t>
            </w:r>
            <w:r>
              <w:t xml:space="preserve">La décision invite à distinguer avec rigueur l’objet réel de la demande de la seule coexistence, présente ou passée, d’un dépôt de marque portant sur un signe proche ou identique. La compétence spéciale en matière de marques ne se justifie pas lorsque le juge n’a pas à apprécier un droit de marque ni à appliquer les règles propres à ce droit. Le retrait de la marque avant la décision sur l’exception d’incompétence constitue, dans cette affaire, un élément déterminant : il exclut que le contentieux soit regardé comme impliquant encore une question de marque. Pour les titulaires de signes distinctifs d’entreprise comme pour les défendeurs à une action en concurrence déloyale, l’arrêt souligne l’importance de caractériser précisément le fondement de l’action et les questions juridiques effectivement soumises au juge, notamment lors de la formulation d’une exception d’incompétence.</w:t>
            </w:r>
          </w:p>
        </w:tc>
      </w:tr>
    </w:tbl>
    <w:p>
      <w:pPr>
        <w:pStyle w:val="Heading2"/>
        <w:keepNext/>
        <w:spacing w:after="100" w:before="180"/>
      </w:pPr>
      <w:r>
        <w:rPr>
          <w:b/>
          <w:bCs/>
          <w:color w:val="1F4E79"/>
        </w:rPr>
        <w:t xml:space="preserve">Nullité de marque : L’INPI annule la marque « RPR » déposée par Franck Allisio et Marc-Antoine Ponelle</w:t>
      </w:r>
    </w:p>
    <w:tbl>
      <w:tblPr>
        <w:tblW w:type="dxa" w:w="9866"/>
        <w:tblBorders>
          <w:top w:val="none" w:color="FFFFFF" w:sz="0"/>
          <w:left w:val="none" w:color="FFFFFF" w:sz="0"/>
          <w:bottom w:val="none" w:color="FFFFFF" w:sz="0"/>
          <w:right w:val="none" w:color="FFFFFF" w:sz="0"/>
          <w:insideH w:val="none" w:color="FFFFFF" w:sz="0"/>
          <w:insideV w:val="none" w:color="FFFFFF" w:sz="0"/>
        </w:tblBorders>
      </w:tblPr>
      <w:tblGrid>
        <w:gridCol w:w="9866"/>
      </w:tblGrid>
      <w:tr>
        <w:tc>
          <w:tcPr>
            <w:tcW w:type="dxa" w:w="9866"/>
            <w:tcBorders>
              <w:top w:val="single" w:color="7F7F7F" w:sz="6"/>
              <w:left w:val="single" w:color="7F7F7F" w:sz="6"/>
              <w:bottom w:val="none" w:color="FFFFFF" w:sz="0"/>
              <w:right w:val="single" w:color="7F7F7F" w:sz="6"/>
            </w:tcBorders>
            <w:tcMar>
              <w:top w:type="dxa" w:w="120"/>
              <w:left w:type="dxa" w:w="180"/>
              <w:bottom w:type="dxa" w:w="20"/>
              <w:right w:type="dxa" w:w="180"/>
            </w:tcMar>
          </w:tcPr>
          <w:p>
            <w:pPr>
              <w:keepNext/>
              <w:spacing w:after="240"/>
            </w:pPr>
            <w:hyperlink w:history="1" r:id="rId4bvfa2_uu1kd9urzbd2m9">
              <w:r>
                <w:rPr>
                  <w:color w:val="507D82"/>
                  <w:u w:val="single"/>
                </w:rPr>
                <w:t xml:space="preserve">INPI, décision de nullité rendue le 2 septembre 2026, référence non précisée dans la source secondaire, 2 septembre 2026</w:t>
              </w:r>
            </w:hyperlink>
          </w:p>
        </w:tc>
      </w:tr>
      <w:tr>
        <w:tc>
          <w:tcPr>
            <w:tcW w:type="dxa" w:w="9866"/>
            <w:tcBorders>
              <w:top w:val="none" w:color="FFFFFF" w:sz="0"/>
              <w:left w:val="single" w:color="7F7F7F" w:sz="6"/>
              <w:bottom w:val="none" w:color="FFFFFF" w:sz="0"/>
              <w:right w:val="single" w:color="7F7F7F" w:sz="6"/>
            </w:tcBorders>
            <w:tcMar>
              <w:top w:type="dxa" w:w="20"/>
              <w:left w:type="dxa" w:w="180"/>
              <w:bottom w:type="dxa" w:w="20"/>
              <w:right w:type="dxa" w:w="180"/>
            </w:tcMar>
          </w:tcPr>
          <w:p>
            <w:pPr>
              <w:keepNext/>
              <w:spacing w:after="180"/>
            </w:pPr>
            <w:r>
              <w:rPr>
                <w:b/>
                <w:bCs/>
                <w:i/>
                <w:iCs/>
                <w:color w:val="2E75B6"/>
              </w:rPr>
              <w:t xml:space="preserve">Signalé par l’alerte de Juliette.</w:t>
            </w:r>
          </w:p>
        </w:tc>
      </w:tr>
      <w:tr>
        <w:tc>
          <w:tcPr>
            <w:tcW w:type="dxa" w:w="9866"/>
            <w:tcBorders>
              <w:top w:val="none" w:color="FFFFFF" w:sz="0"/>
              <w:left w:val="single" w:color="7F7F7F" w:sz="6"/>
              <w:bottom w:val="none" w:color="FFFFFF" w:sz="0"/>
              <w:right w:val="single" w:color="7F7F7F" w:sz="6"/>
            </w:tcBorders>
            <w:tcMar>
              <w:top w:type="dxa" w:w="20"/>
              <w:left w:type="dxa" w:w="180"/>
              <w:bottom w:type="dxa" w:w="20"/>
              <w:right w:type="dxa" w:w="180"/>
            </w:tcMar>
          </w:tcPr>
          <w:p>
            <w:pPr>
              <w:keepNext/>
              <w:spacing w:after="220"/>
              <w:jc w:val="both"/>
            </w:pPr>
            <w:r>
              <w:rPr>
                <w:b/>
                <w:bCs/>
                <w:i/>
                <w:iCs/>
                <w:color w:val="C55A11"/>
              </w:rPr>
              <w:t xml:space="preserve">Attention : les informations présentées dans cette section doivent être vérifiées, l’accès à la source étant incomplet, limité ou restreint.</w:t>
            </w:r>
          </w:p>
        </w:tc>
      </w:tr>
      <w:tr>
        <w:tc>
          <w:tcPr>
            <w:tcW w:type="dxa" w:w="9866"/>
            <w:tcBorders>
              <w:top w:val="none" w:color="FFFFFF" w:sz="0"/>
              <w:left w:val="single" w:color="7F7F7F" w:sz="6"/>
              <w:bottom w:val="none" w:color="FFFFFF" w:sz="0"/>
              <w:right w:val="single" w:color="7F7F7F" w:sz="6"/>
            </w:tcBorders>
            <w:tcMar>
              <w:top w:type="dxa" w:w="20"/>
              <w:left w:type="dxa" w:w="180"/>
              <w:bottom w:type="dxa" w:w="20"/>
              <w:right w:type="dxa" w:w="180"/>
            </w:tcMar>
          </w:tcPr>
          <w:p>
            <w:pPr>
              <w:keepLines/>
              <w:spacing w:after="130" w:line="276"/>
              <w:jc w:val="both"/>
            </w:pPr>
            <w:r>
              <w:t xml:space="preserve">La décision de nullité rendue par l’INPI le 2 septembre 2026 concerne la marque RPR, Le Rassemblement pour la République, présentée comme ayant été déposée par Franck Allisio et Marc-Antoine Ponelle. Les éléments accessibles indiquent que l’Institut a accueilli une demande en nullité fondée sur la mauvaise foi alléguée lors du dépôt. En l’absence de consultation directe du texte intégral de la décision, l’analyse ne permet ni de restituer les motifs dans leur formulation exacte, ni d’identifier le fondement textuel précis retenu.</w:t>
            </w:r>
          </w:p>
        </w:tc>
      </w:tr>
      <w:tr>
        <w:tc>
          <w:tcPr>
            <w:tcW w:type="dxa" w:w="9866"/>
            <w:tcBorders>
              <w:top w:val="none" w:color="FFFFFF" w:sz="0"/>
              <w:left w:val="single" w:color="7F7F7F" w:sz="6"/>
              <w:bottom w:val="none" w:color="FFFFFF" w:sz="0"/>
              <w:right w:val="single" w:color="7F7F7F" w:sz="6"/>
            </w:tcBorders>
            <w:tcMar>
              <w:top w:type="dxa" w:w="20"/>
              <w:left w:type="dxa" w:w="180"/>
              <w:bottom w:type="dxa" w:w="20"/>
              <w:right w:type="dxa" w:w="180"/>
            </w:tcMar>
          </w:tcPr>
          <w:p>
            <w:pPr>
              <w:keepLines/>
              <w:spacing w:after="130" w:line="276"/>
              <w:jc w:val="both"/>
            </w:pPr>
            <w:r>
              <w:t xml:space="preserve">La procédure a été engagée par l’association Cap sur l’Avenir 13. La marque litigieuse était désignée comme RPR, Le Rassemblement pour la République. Selon les informations vérifiées, une audience s’est tenue devant l’INPI le 22 juin 2026. L’Institut a rendu sa décision le 2 septembre 2026 et a déclaré la marque nulle. Aucun élément accessible ne précise la date de dépôt de la marque, les produits et services visés, l’identité complète du titulaire inscrit au registre, ni les éventuelles circonstances factuelles ayant entouré l’adoption du signe.</w:t>
            </w:r>
          </w:p>
        </w:tc>
      </w:tr>
      <w:tr>
        <w:tc>
          <w:tcPr>
            <w:tcW w:type="dxa" w:w="9866"/>
            <w:tcBorders>
              <w:top w:val="none" w:color="FFFFFF" w:sz="0"/>
              <w:left w:val="single" w:color="7F7F7F" w:sz="6"/>
              <w:bottom w:val="none" w:color="FFFFFF" w:sz="0"/>
              <w:right w:val="single" w:color="7F7F7F" w:sz="6"/>
            </w:tcBorders>
            <w:tcMar>
              <w:top w:type="dxa" w:w="20"/>
              <w:left w:type="dxa" w:w="180"/>
              <w:bottom w:type="dxa" w:w="20"/>
              <w:right w:type="dxa" w:w="180"/>
            </w:tcMar>
          </w:tcPr>
          <w:p>
            <w:pPr>
              <w:keepLines/>
              <w:spacing w:after="130" w:line="276"/>
              <w:jc w:val="both"/>
            </w:pPr>
            <w:r>
              <w:t xml:space="preserve">Les arguments respectivement développés par l’association demanderesse et par les déposants ne sont pas précisés dans les éléments accessibles. Il est seulement établi que la procédure en nullité a été introduite par l’association Cap sur l’Avenir 13 et que la mauvaise foi a été retenue par l’INPI. Il n’est donc pas possible de déterminer les éléments invoqués pour caractériser l’intention des déposants, ni de savoir si ceux-ci ont contesté la recevabilité de la demande, la qualité à agir de l’association ou le bien-fondé du grief.</w:t>
            </w:r>
          </w:p>
        </w:tc>
      </w:tr>
      <w:tr>
        <w:tc>
          <w:tcPr>
            <w:tcW w:type="dxa" w:w="9866"/>
            <w:tcBorders>
              <w:top w:val="none" w:color="FFFFFF" w:sz="0"/>
              <w:left w:val="single" w:color="7F7F7F" w:sz="6"/>
              <w:bottom w:val="none" w:color="FFFFFF" w:sz="0"/>
              <w:right w:val="single" w:color="7F7F7F" w:sz="6"/>
            </w:tcBorders>
            <w:tcMar>
              <w:top w:type="dxa" w:w="20"/>
              <w:left w:type="dxa" w:w="180"/>
              <w:bottom w:type="dxa" w:w="20"/>
              <w:right w:type="dxa" w:w="180"/>
            </w:tcMar>
          </w:tcPr>
          <w:p>
            <w:pPr>
              <w:keepLines/>
              <w:spacing w:after="130" w:line="276"/>
              <w:jc w:val="both"/>
            </w:pPr>
            <w:r>
              <w:t xml:space="preserve">Au regard des seules informations vérifiées, le litige posait la question de savoir si le dépôt de la marque RPR, Le Rassemblement pour la République, devait être annulé en raison de la mauvaise foi de ses déposants. La décision accessible par voie indirecte répond par l’affirmative, sans que les critères concrets d’appréciation appliqués par l’INPI puissent être identifiés.</w:t>
            </w:r>
          </w:p>
        </w:tc>
      </w:tr>
      <w:tr>
        <w:tc>
          <w:tcPr>
            <w:tcW w:type="dxa" w:w="9866"/>
            <w:tcBorders>
              <w:top w:val="none" w:color="FFFFFF" w:sz="0"/>
              <w:left w:val="single" w:color="7F7F7F" w:sz="6"/>
              <w:bottom w:val="none" w:color="FFFFFF" w:sz="0"/>
              <w:right w:val="single" w:color="7F7F7F" w:sz="6"/>
            </w:tcBorders>
            <w:tcMar>
              <w:top w:type="dxa" w:w="20"/>
              <w:left w:type="dxa" w:w="180"/>
              <w:bottom w:type="dxa" w:w="20"/>
              <w:right w:type="dxa" w:w="180"/>
            </w:tcMar>
          </w:tcPr>
          <w:p>
            <w:pPr>
              <w:keepLines/>
              <w:spacing w:after="130" w:line="276"/>
              <w:jc w:val="both"/>
            </w:pPr>
            <w:r>
              <w:t xml:space="preserve">La source secondaire accessible rapporte que l’INPI a retenu le motif d’un dépôt de mauvaise foi. Le raisonnement suivi n’est toutefois pas disponible : les éléments retenus par l’Institut, leur chronologie, l’appréciation de la connaissance du signe ou de l’intention poursuivie lors du dépôt ne sont pas précisés. De même, il n’est pas possible d’établir si l’INPI a examiné d’autres moyens de nullité, ni d’indiquer l’étendue exacte de l’annulation au regard des produits et services couverts par l’enregistrement.</w:t>
            </w:r>
          </w:p>
        </w:tc>
      </w:tr>
      <w:tr>
        <w:tc>
          <w:tcPr>
            <w:tcW w:type="dxa" w:w="9866"/>
            <w:tcBorders>
              <w:top w:val="none" w:color="FFFFFF" w:sz="0"/>
              <w:left w:val="single" w:color="7F7F7F" w:sz="6"/>
              <w:bottom w:val="none" w:color="FFFFFF" w:sz="0"/>
              <w:right w:val="single" w:color="7F7F7F" w:sz="6"/>
            </w:tcBorders>
            <w:tcMar>
              <w:top w:type="dxa" w:w="20"/>
              <w:left w:type="dxa" w:w="180"/>
              <w:bottom w:type="dxa" w:w="20"/>
              <w:right w:type="dxa" w:w="180"/>
            </w:tcMar>
          </w:tcPr>
          <w:p>
            <w:pPr>
              <w:keepLines/>
              <w:spacing w:after="130" w:line="276"/>
              <w:jc w:val="both"/>
            </w:pPr>
            <w:r>
              <w:t xml:space="preserve">L’INPI a déclaré nulle la marque RPR, Le Rassemblement pour la République, par une décision du 2 septembre 2026. Selon les éléments accessibles, Franck Allisio et Marc-Antoine Ponelle ont en outre été condamnés solidairement au paiement de 1 200 euros. La nature exacte de cette somme, ainsi que les modalités précises du dispositif et les voies de recours éventuellement ouvertes, ne sont pas précisées.</w:t>
            </w:r>
          </w:p>
        </w:tc>
      </w:tr>
      <w:tr>
        <w:tc>
          <w:tcPr>
            <w:tcW w:type="dxa" w:w="9866"/>
            <w:tcBorders>
              <w:top w:val="none" w:color="FFFFFF" w:sz="0"/>
              <w:left w:val="single" w:color="7F7F7F" w:sz="6"/>
              <w:bottom w:val="single" w:color="7F7F7F" w:sz="6"/>
              <w:right w:val="single" w:color="7F7F7F" w:sz="6"/>
            </w:tcBorders>
            <w:tcMar>
              <w:top w:type="dxa" w:w="20"/>
              <w:left w:type="dxa" w:w="180"/>
              <w:bottom w:type="dxa" w:w="120"/>
              <w:right w:type="dxa" w:w="180"/>
            </w:tcMar>
          </w:tcPr>
          <w:p>
            <w:pPr>
              <w:pBdr>
                <w:left w:val="single" w:color="507D82" w:sz="10" w:space="8"/>
              </w:pBdr>
              <w:spacing w:after="260" w:before="80"/>
              <w:ind w:left="180"/>
              <w:jc w:val="both"/>
            </w:pPr>
            <w:r>
              <w:rPr>
                <w:b/>
                <w:bCs/>
              </w:rPr>
              <w:t xml:space="preserve">Portée pratique. </w:t>
            </w:r>
            <w:r>
              <w:t xml:space="preserve">Cette décision illustre, dans les limites imposées par l’accès partiel à la source, l’effectivité de l’action en nullité lorsque la mauvaise foi lors du dépôt est retenue. Elle rappelle l’importance de documenter, avant tout dépôt, les circonstances d’adoption d’un signe et l’objectif poursuivi. La portée exacte de la décision demeure néanmoins à vérifier à la lecture de ses motifs et de son dispositif intégral.</w:t>
            </w:r>
          </w:p>
        </w:tc>
      </w:tr>
    </w:tbl>
    <w:p>
      <w:pPr>
        <w:pStyle w:val="Heading1"/>
        <w:pBdr>
          <w:bottom w:val="single" w:color="222222" w:sz="6" w:space="6"/>
        </w:pBdr>
        <w:spacing w:after="180" w:before="300"/>
      </w:pPr>
      <w:r>
        <w:rPr>
          <w:b/>
          <w:bCs/>
        </w:rPr>
        <w:t xml:space="preserve">ACTUALITÉS</w:t>
      </w:r>
    </w:p>
    <w:p>
      <w:pPr>
        <w:pStyle w:val="Heading2"/>
        <w:keepNext/>
        <w:spacing w:after="100" w:before="180"/>
      </w:pPr>
      <w:r>
        <w:rPr>
          <w:b/>
          <w:bCs/>
          <w:color w:val="1F4E79"/>
        </w:rPr>
        <w:t xml:space="preserve">Newsletter, August 2026 : procédures de propriété intellectuelle, IA et publicité, réforme des dessins et modèles, PPWR et marques</w:t>
      </w:r>
    </w:p>
    <w:p>
      <w:pPr>
        <w:keepNext/>
        <w:spacing w:after="240"/>
      </w:pPr>
      <w:hyperlink w:history="1" r:id="rIdtnq85h-v_vmdoac72ki9f">
        <w:r>
          <w:rPr>
            <w:color w:val="507D82"/>
            <w:u w:val="single"/>
          </w:rPr>
          <w:t xml:space="preserve">Actualité doctrinale et réglementaire, publication du 1er septembre 2026, 1 septembre 2026</w:t>
        </w:r>
      </w:hyperlink>
    </w:p>
    <w:p>
      <w:pPr>
        <w:keepLines/>
        <w:spacing w:after="130" w:line="276"/>
        <w:jc w:val="both"/>
      </w:pPr>
      <w:r>
        <w:rPr>
          <w:b/>
          <w:bCs/>
          <w:color w:val="1F4E79"/>
        </w:rPr>
        <w:t xml:space="preserve">Contexte. </w:t>
      </w:r>
      <w:r>
        <w:t xml:space="preserve">La publication souligne la nécessité, pour les titulaires de droits, de traduire les évolutions réglementaires récentes en mesures concrètes de protection et de gestion des actifs immatériels. Elle rapproche quatre sujets distincts : l’achèvement de la dématérialisation des procédures de propriété intellectuelle en France, l’encadrement de la publicité utilisant l’intelligence artificielle, l’évolution des modalités de représentation des dessins et modèles de l’Union européenne et les incidences des obligations relatives aux emballages sur la commercialisation en ligne de produits de marque.</w:t>
      </w:r>
    </w:p>
    <w:p>
      <w:pPr>
        <w:keepLines/>
        <w:spacing w:after="130" w:line="276"/>
        <w:jc w:val="both"/>
      </w:pPr>
      <w:r>
        <w:rPr>
          <w:b/>
          <w:bCs/>
          <w:color w:val="1F4E79"/>
        </w:rPr>
        <w:t xml:space="preserve">Fondement et champ d’application. </w:t>
      </w:r>
      <w:r>
        <w:t xml:space="preserve">La newsletter vise l’arrêté de simplification du Code de la propriété intellectuelle s’agissant des procédures françaises, les obligations de transparence issues de l’AI Act pour la publicité utilisant l’IA, la phase 2 de la réforme européenne des dessins et modèles, ainsi que la documentation de responsabilité élargie du producteur dans le contexte du PPWR. Elle ne précise ni les références complètes de ces textes, ni leur champ matériel ou territorial détaillé.</w:t>
      </w:r>
    </w:p>
    <w:p>
      <w:pPr>
        <w:keepLines/>
        <w:spacing w:after="130" w:line="276"/>
        <w:jc w:val="both"/>
      </w:pPr>
      <w:r>
        <w:rPr>
          <w:b/>
          <w:bCs/>
          <w:color w:val="1F4E79"/>
        </w:rPr>
        <w:t xml:space="preserve">Principales dispositions. </w:t>
      </w:r>
      <w:r>
        <w:t xml:space="preserve">La dématérialisation appelle un accès fiable au portail compétent, un suivi quotidien, la validation des dépôts et l’actualisation des échéanciers. En matière publicitaire, la transparence liée à l’IA doit être conciliée avec le contrôle des allégations, des droits de tiers, des données personnelles et des responsabilités contractuelles. La réforme des dessins et modèles ouvre des possibilités de représentation par vues statiques, fichiers 3D et animations. Enfin, la documentation REP est présentée comme susceptible de conditionner l’accès des produits de marque aux marketplaces.</w:t>
      </w:r>
    </w:p>
    <w:p>
      <w:pPr>
        <w:keepLines/>
        <w:spacing w:after="130" w:line="276"/>
        <w:jc w:val="both"/>
      </w:pPr>
      <w:r>
        <w:rPr>
          <w:b/>
          <w:bCs/>
          <w:color w:val="1F4E79"/>
        </w:rPr>
        <w:t xml:space="preserve">Mise en œuvre. </w:t>
      </w:r>
      <w:r>
        <w:t xml:space="preserve">La publication indique que les exigences relatives à la publicité utilisant l’IA s’appliquent depuis le 2 août 2026. Elle évoque la phase 2 de la réforme européenne des dessins et modèles et l’achèvement de la dématérialisation des procédures françaises, sans préciser leurs dates d’entrée en vigueur respectives. Aucune échéance opérationnelle particulière n’est indiquée pour le PPWR.</w:t>
      </w:r>
    </w:p>
    <w:p>
      <w:pPr>
        <w:pBdr>
          <w:left w:val="single" w:color="507D82" w:sz="10" w:space="8"/>
        </w:pBdr>
        <w:spacing w:after="260" w:before="80"/>
        <w:ind w:left="180"/>
        <w:jc w:val="both"/>
      </w:pPr>
      <w:r>
        <w:rPr>
          <w:b/>
          <w:bCs/>
        </w:rPr>
        <w:t xml:space="preserve">Portée pratique. </w:t>
      </w:r>
      <w:r>
        <w:t xml:space="preserve">La publication met en évidence la nécessité d’une coordination entre les fonctions de propriété intellectuelle, de conformité, de marketing, de protection des données et de commercialisation. Elle invite notamment à sécuriser les circuits de dépôt et de surveillance, à documenter la chaîne de création publicitaire assistée par IA, à adapter les stratégies de dépôt aux actifs tridimensionnels ou animés et à articuler les exigences d’emballage avec les enregistrements nationaux, les contrats et les portefeuilles de droits. ([linkedin.com](https://www.linkedin.com/pulse/newsletter-august-2026-dreyfus-associes-topne))</w:t>
      </w:r>
    </w:p>
    <w:p>
      <w:pPr>
        <w:pStyle w:val="Heading2"/>
        <w:keepNext/>
        <w:spacing w:after="100" w:before="180"/>
      </w:pPr>
      <w:r>
        <w:rPr>
          <w:b/>
          <w:bCs/>
          <w:color w:val="1F4E79"/>
        </w:rPr>
        <w:t xml:space="preserve">Minéraux critiques : et si la solution était dans les brevets, pas dans les mines ?</w:t>
      </w:r>
    </w:p>
    <w:p>
      <w:pPr>
        <w:keepNext/>
        <w:spacing w:after="240"/>
      </w:pPr>
      <w:hyperlink w:history="1" r:id="rIdgkcskh-i1j15hezlbalpj">
        <w:r>
          <w:rPr>
            <w:color w:val="507D82"/>
            <w:u w:val="single"/>
          </w:rPr>
          <w:t xml:space="preserve">Article consacré à une proposition publiée dans Nature concernant le recours à des pools de brevets, 6 septembre 2026</w:t>
        </w:r>
      </w:hyperlink>
    </w:p>
    <w:p>
      <w:pPr>
        <w:keepNext/>
        <w:spacing w:after="180"/>
      </w:pPr>
      <w:r>
        <w:rPr>
          <w:b/>
          <w:bCs/>
          <w:i/>
          <w:iCs/>
          <w:color w:val="2E75B6"/>
        </w:rPr>
        <w:t xml:space="preserve">Signalé par l’alerte de Juliette.</w:t>
      </w:r>
    </w:p>
    <w:p>
      <w:pPr>
        <w:keepNext/>
        <w:spacing w:after="220"/>
        <w:jc w:val="both"/>
      </w:pPr>
      <w:r>
        <w:rPr>
          <w:b/>
          <w:bCs/>
          <w:i/>
          <w:iCs/>
          <w:color w:val="C55A11"/>
        </w:rPr>
        <w:t xml:space="preserve">Attention : les informations présentées dans cette section doivent être vérifiées, l’accès à la source étant incomplet, limité ou restreint.</w:t>
      </w:r>
    </w:p>
    <w:p>
      <w:pPr>
        <w:keepLines/>
        <w:spacing w:after="130" w:line="276"/>
        <w:jc w:val="both"/>
      </w:pPr>
      <w:r>
        <w:rPr>
          <w:b/>
          <w:bCs/>
          <w:color w:val="1F4E79"/>
        </w:rPr>
        <w:t xml:space="preserve">Contexte. </w:t>
      </w:r>
      <w:r>
        <w:t xml:space="preserve">La Gazette du LABORATOIRE relève l’existence de tensions géopolitiques croissantes concernant les minerais stratégiques. Dans ce contexte, deux économistes du Centre d’études et de recherches sur le développement international proposent de déplacer l’analyse de la crise des minéraux critiques. Celle-ci ne serait plus envisagée principalement sous l’angle de l’approvisionnement minier, mais sous celui de la propriété intellectuelle applicable aux technologies de traitement.</w:t>
      </w:r>
    </w:p>
    <w:p>
      <w:pPr>
        <w:keepLines/>
        <w:spacing w:after="130" w:line="276"/>
        <w:jc w:val="both"/>
      </w:pPr>
      <w:r>
        <w:rPr>
          <w:b/>
          <w:bCs/>
          <w:color w:val="1F4E79"/>
        </w:rPr>
        <w:t xml:space="preserve">Fondement et champ d’application. </w:t>
      </w:r>
      <w:r>
        <w:t xml:space="preserve">La brève indique que cette proposition a été publiée dans Nature, sans préciser le régime juridique, les titulaires de droits concernés, les territoires visés ni les modalités contractuelles ou concurrentielles susceptibles d’encadrer sa mise en œuvre. Son champ porte, selon les termes rapportés, sur les licences relatives aux technologies de traitement liées aux minéraux critiques.</w:t>
      </w:r>
    </w:p>
    <w:p>
      <w:pPr>
        <w:keepLines/>
        <w:spacing w:after="130" w:line="276"/>
        <w:jc w:val="both"/>
      </w:pPr>
      <w:r>
        <w:rPr>
          <w:b/>
          <w:bCs/>
          <w:color w:val="1F4E79"/>
        </w:rPr>
        <w:t xml:space="preserve">Principales dispositions. </w:t>
      </w:r>
      <w:r>
        <w:t xml:space="preserve">La solution présentée consiste à mutualiser les licences des technologies de traitement afin de les rendre accessibles à tous. Le mécanisme envisagé s’inspire des pools de brevets mobilisés dans les domaines de la lutte contre le VIH et la Covid-19. La source ne précise ni les conditions d’adhésion au pool, ni les règles de fixation des redevances, ni les garanties attachées à l’accès aux licences.</w:t>
      </w:r>
    </w:p>
    <w:p>
      <w:pPr>
        <w:keepLines/>
        <w:spacing w:after="130" w:line="276"/>
        <w:jc w:val="both"/>
      </w:pPr>
      <w:r>
        <w:rPr>
          <w:b/>
          <w:bCs/>
          <w:color w:val="1F4E79"/>
        </w:rPr>
        <w:t xml:space="preserve">Mise en œuvre. </w:t>
      </w:r>
      <w:r>
        <w:t xml:space="preserve">Aucun calendrier de déploiement, aucune échéance réglementaire et aucune étape de mise en œuvre ne sont précisés. La publication de la brève est datée du 6 septembre 2026.</w:t>
      </w:r>
    </w:p>
    <w:p>
      <w:pPr>
        <w:pBdr>
          <w:left w:val="single" w:color="507D82" w:sz="10" w:space="8"/>
        </w:pBdr>
        <w:spacing w:after="260" w:before="80"/>
        <w:ind w:left="180"/>
        <w:jc w:val="both"/>
      </w:pPr>
      <w:r>
        <w:rPr>
          <w:b/>
          <w:bCs/>
        </w:rPr>
        <w:t xml:space="preserve">Portée pratique. </w:t>
      </w:r>
      <w:r>
        <w:t xml:space="preserve">Cette actualité met en évidence une approche fondée sur la gestion collective de droits de propriété intellectuelle pour favoriser l’accès aux technologies de traitement des minéraux critiques. À ce stade, elle décrit une proposition intellectuelle et ne fait état d’aucun dispositif juridiquement institué ni d’aucune obligation applicable aux titulaires de brevets.</w:t>
      </w:r>
    </w:p>
    <w:p>
      <w:pPr>
        <w:spacing w:after="140" w:before="260"/>
      </w:pPr>
      <w:r>
        <w:rPr>
          <w:i/>
          <w:iCs/>
          <w:color w:val="666666"/>
          <w:sz w:val="18"/>
          <w:szCs w:val="18"/>
        </w:rPr>
        <w:t xml:space="preserve">Cette édition réunit quatre jurisprudences et deux actualités publiées au cours de la semaine du 31 août au 6 septembre 2026. Les six sujets ont été retenus après vérification de leur source primaire et représentent 6 catégories éditoriales distinctes. 2 sujets ont été initialement signalés par les alertes de Juliette, puis vérifiés sur leur source primaire.</w:t>
      </w:r>
    </w:p>
    <w:sectPr>
      <w:footerReference w:type="default" r:id="rId7"/>
      <w:pgSz w:w="11906" w:h="16838" w:orient="portrait"/>
      <w:pgMar w:top="1020" w:right="1020" w:bottom="1020" w:left="10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t xml:space="preserve">Veille IP · </w:t>
    </w:r>
    <w: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71717"/>
        <w:sz w:val="22"/>
        <w:szCs w:val="22"/>
      </w:rPr>
    </w:rPrDefault>
    <w:pPrDefault>
      <w:pPr>
        <w:spacing w:after="130"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rPr>
      <w:rFonts w:ascii="Arial" w:cs="Arial" w:eastAsia="Arial" w:hAnsi="Arial"/>
      <w:b/>
      <w:bCs/>
      <w:color w:val="171717"/>
      <w:sz w:val="24"/>
      <w:szCs w:val="24"/>
    </w:rPr>
  </w:style>
  <w:style w:type="paragraph" w:styleId="Heading2">
    <w:name w:val="Heading 2"/>
    <w:basedOn w:val="Normal"/>
    <w:next w:val="Normal"/>
    <w:qFormat/>
    <w:rPr>
      <w:rFonts w:ascii="Arial" w:cs="Arial" w:eastAsia="Arial" w:hAnsi="Arial"/>
      <w:b/>
      <w:bCs/>
      <w:color w:val="171717"/>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jlcny7s4fvzcqcvmzt5y7" Type="http://schemas.openxmlformats.org/officeDocument/2006/relationships/hyperlink" Target="https://eur-lex.europa.eu/legal-content/FR/TXT/?uri=CELEX%3A62024TJ0049" TargetMode="External"/><Relationship Id="rIdlzsakesimqibkhisjq0ne" Type="http://schemas.openxmlformats.org/officeDocument/2006/relationships/hyperlink" Target="https://eur-lex.europa.eu/legal-content/EN/TXT/?qid=1787442127708&amp;uri=CELEX%3A62025TJ0376" TargetMode="External"/><Relationship Id="rId3gimjbzeh3tpa9zrd1ac7" Type="http://schemas.openxmlformats.org/officeDocument/2006/relationships/hyperlink" Target="https://www.courdecassation.fr/decision/6a97ed0a195da062e0d07192?judilibre_publication%5B0%5D=b" TargetMode="External"/><Relationship Id="rId4bvfa2_uu1kd9urzbd2m9" Type="http://schemas.openxmlformats.org/officeDocument/2006/relationships/hyperlink" Target="https://base-jurisprudence.inpi.fr/cindocwebjsp/" TargetMode="External"/><Relationship Id="rIdtnq85h-v_vmdoac72ki9f" Type="http://schemas.openxmlformats.org/officeDocument/2006/relationships/hyperlink" Target="https://www.linkedin.com/pulse/newsletter-august-2026-dreyfus-associes-topne" TargetMode="External"/><Relationship Id="rIdgkcskh-i1j15hezlbalpj" Type="http://schemas.openxmlformats.org/officeDocument/2006/relationships/hyperlink" Target="https://www.gazettelabo.fr/breves/19086Mineraux-critiques.html" TargetMode="External"/><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Veille Propriété intellectuelle : Du 31 août au 6 septembre 2026</dc:title>
  <dc:creator>Veille IP DLA</dc:creator>
  <dc:description>Veille hebdomadaire de propriété intellectuelle</dc:description>
  <cp:lastModifiedBy>Un-named</cp:lastModifiedBy>
  <cp:revision>1</cp:revision>
  <dcterms:created xsi:type="dcterms:W3CDTF">2026-09-06T21:41:44.175Z</dcterms:created>
  <dcterms:modified xsi:type="dcterms:W3CDTF">2026-09-06T21:41:44.175Z</dcterms:modified>
</cp:coreProperties>
</file>

<file path=docProps/custom.xml><?xml version="1.0" encoding="utf-8"?>
<Properties xmlns="http://schemas.openxmlformats.org/officeDocument/2006/custom-properties" xmlns:vt="http://schemas.openxmlformats.org/officeDocument/2006/docPropsVTypes"/>
</file>