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16 octobre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color w:val="1F4E79"/>
        </w:rPr>
        <w:t xml:space="preserve">Marques de l’Union européenne : Le Tribunal confirme l’irrecevabilité du recours devant l’EUIPO dans l’affaire FIND MY CAR</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c>
          <w:tcPr>
            <w:tcW w:type="dxa" w:w="9866"/>
            <w:tcBorders>
              <w:top w:val="single" w:color="7F7F7F" w:sz="6"/>
              <w:left w:val="single" w:color="7F7F7F" w:sz="6"/>
              <w:bottom w:val="none" w:color="FFFFFF" w:sz="0"/>
              <w:right w:val="single" w:color="7F7F7F" w:sz="6"/>
            </w:tcBorders>
            <w:tcMar>
              <w:top w:type="dxa" w:w="120"/>
              <w:left w:type="dxa" w:w="180"/>
              <w:bottom w:type="dxa" w:w="20"/>
              <w:right w:type="dxa" w:w="180"/>
            </w:tcMar>
          </w:tcPr>
          <w:p>
            <w:pPr>
              <w:keepNext/>
              <w:spacing w:after="240"/>
            </w:pPr>
            <w:hyperlink w:history="1" r:id="rIdsxh3cbkhafy_s7aiznwrh">
              <w:r>
                <w:rPr>
                  <w:color w:val="507D82"/>
                  <w:u w:val="single"/>
                </w:rPr>
                <w:t xml:space="preserve">Cour de justice de l’Union européenne, InfoCuria et EUR-Lex, arrêt du Tribunal du 14 octobre 2026.</w:t>
              </w:r>
            </w:hyperlink>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220"/>
              <w:jc w:val="both"/>
            </w:pPr>
            <w:r>
              <w:rPr>
                <w:b/>
                <w:bCs/>
                <w:i/>
                <w:iCs/>
                <w:color w:val="C55A11"/>
              </w:rPr>
              <w:t xml:space="preserve">Attention : les informations présentées dans cette section doivent être vérifiées, l’accès à la source étant incomplet, limité ou restreint.</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La première chambre de recours de l’EUIPO adopte, dans l’affaire R 1259/2024-1, la décision attaquée devant le Tribunal. </w:t>
            </w:r>
            <w:r>
              <w:rPr>
                <w:i/>
                <w:iCs/>
                <w:color w:val="666666"/>
              </w:rPr>
              <w:t xml:space="preserve">(2025-05-08)</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Le Tribunal de l’Union européenne rend son arrêt dans l’affaire T-451/25. </w:t>
            </w:r>
            <w:r>
              <w:rPr>
                <w:i/>
                <w:iCs/>
                <w:color w:val="666666"/>
              </w:rPr>
              <w:t xml:space="preserve">(2026-10-14)</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val="false"/>
              <w:spacing w:after="70" w:line="252"/>
              <w:jc w:val="left"/>
            </w:pPr>
            <w:r>
              <w:t xml:space="preserve">→ Le Tribunal rejette le recours de Mega Pop podjetje za oglaševanje na prostem d.o.o. et la condamne aux dépens. </w:t>
            </w:r>
            <w:r>
              <w:rPr>
                <w:i/>
                <w:iCs/>
                <w:color w:val="666666"/>
              </w:rPr>
              <w:t xml:space="preserve">(2026-10-14)</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L’arrêt T-451/25 s’inscrit dans le contentieux procédural des marques de l’Union européenne. Il oppose Mega Pop podjetje za oglaševanje na prostem d.o.o. à l’Office de l’Union européenne pour la propriété intellectuelle, Apple Inc. étant intervenante devant le Tribunal. Le litige porte sur la marque verbale FIND MY CAR, objet d’un enregistrement international désignant l’Union européenne. Il ne ressort pas des éléments vérifiés que le Tribunal ait été saisi d’un débat au fond relatif au caractère distinctif, à la disponibilité ou à la validité substantielle du signe. Le recours concerne la recevabilité d’une voie de recours devant la chambre de recours de l’EUIPO, appréciée au regard du délai applicable au dépôt du mémoire exposant les motifs du recours, d’une prorogation liée à la situation des parties établies en Ukraine et d’une demande de restitutio in integrum.</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Mega Pop podjetje za oglaševanje na prostem d.o.o. a formé un recours contre une décision de la première chambre de recours de l’EUIPO du 8 mai 2025, enregistrée sous la référence R 1259/2024-1. Apple Inc. était partie intervenante dans le recours porté devant le Tribunal. Selon les éléments vérifiés, la difficulté procédurale trouve son origine dans le dépôt tardif du mémoire exposant les motifs du recours devant la chambre de recours. La requérante invoquait également une prorogation de délai applicable aux parties établies en Ukraine et avait présenté une demande de restitutio in integrum. L’arrêt ne permet pas, dans le périmètre des informations accessibles, de préciser la nature exacte de la procédure administrative antérieure, les produits ou services concernés, ni les circonstances matérielles ayant entouré l’expiration du délai. Le Tribunal a statué sur le recours le 14 octobre 2026 et l’a rejeté.</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Les éléments vérifiés établissent que Mega Pop contestait les conséquences attachées au dépôt tardif de son mémoire exposant les motifs du recours devant la chambre de recours de l’EUIPO. Son argumentation se rattachait, d’une part, à l’application d’une prorogation de délai concernant les parties établies en Ukraine et, d’autre part, à une demande de restitutio in integrum. Il n’est pas précisé, dans les informations disponibles, quels faits particuliers étaient invoqués au soutien de cette demande, ni la formulation exacte des griefs adressés à la décision de la chambre de recours. Les arguments respectifs de l’EUIPO et d’Apple Inc. ne sont pas davantage détaillés. Il convient donc de limiter l’analyse à la question procédurale effectivement identifiée et à la solution prononcée.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devait déterminer si la chambre de recours avait valablement traité comme tardif le mémoire exposant les motifs du recours de Mega Pop et, dans ce cadre, si la requérante pouvait utilement se prévaloir d’une prorogation de délai applicable aux parties établies en Ukraine ou obtenir une restitutio in integrum. La question ne portait donc pas sur le mérite matériel de la marque FIND MY CAR, mais sur les conditions de recevabilité et de régularisation d’un recours devant l’EUIPO.</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D’après les faits vérifiés, le raisonnement du Tribunal a porté conjointement sur trois aspects : la tardiveté du mémoire exposant les motifs du recours, la portée de la prorogation de délai invoquée par la requérante et la demande de restitutio in integrum. Le Tribunal a rejeté le recours, ce qui confirme que les arguments soumis par Mega Pop ne permettaient pas de remettre en cause l’appréciation procédurale contestée. Les informations accessibles ne permettent toutefois pas de restituer le détail de l’interprétation retenue, d’identifier les dispositions précisément appliquées, ni de distinguer les motifs autonomes ou successifs ayant conduit au rejet. Il n’est donc pas possible d’attribuer au Tribunal une solution de principe plus étendue que celle qui résulte du dispositif et des éléments procéduraux confirmés. L’arrêt atteste néanmoins que l’invocation d’un régime de prorogation de délais et le recours à la restitutio in integrum ont été examinés dans le cadre du contrôle de la recevabilité du recours administratif.</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rejette le recours introduit par Mega Pop podjetje za oglaševanje na prostem d.o.o. contre la décision de la première chambre de recours de l’EUIPO du 8 mai 2025. Apple Inc. était intervenante dans l’instance devant le Tribunal. Mega Pop podjetje za oglaševanje na prostem d.o.o. est condamnée aux dépens. L’arrêt maintient ainsi les effets de la décision attaquée en tant qu’elle concerne la recevabilité du recours devant la chambre de recours de l’EUIPO.</w:t>
            </w:r>
          </w:p>
        </w:tc>
      </w:tr>
      <w:tr>
        <w:tc>
          <w:tcPr>
            <w:tcW w:type="dxa" w:w="9866"/>
            <w:tcBorders>
              <w:top w:val="none" w:color="FFFFFF" w:sz="0"/>
              <w:left w:val="single" w:color="7F7F7F" w:sz="6"/>
              <w:bottom w:val="single" w:color="7F7F7F" w:sz="6"/>
              <w:right w:val="single" w:color="7F7F7F" w:sz="6"/>
            </w:tcBorders>
            <w:tcMar>
              <w:top w:type="dxa" w:w="20"/>
              <w:left w:type="dxa" w:w="180"/>
              <w:bottom w:type="dxa" w:w="120"/>
              <w:right w:type="dxa" w:w="180"/>
            </w:tcMar>
          </w:tcPr>
          <w:p>
            <w:pPr>
              <w:pBdr>
                <w:left w:val="single" w:color="507D82" w:sz="10" w:space="8"/>
              </w:pBdr>
              <w:spacing w:after="260" w:before="80"/>
              <w:ind w:left="180"/>
              <w:jc w:val="both"/>
            </w:pPr>
            <w:r>
              <w:rPr>
                <w:b/>
                <w:bCs/>
              </w:rPr>
              <w:t xml:space="preserve">Portée pratique. </w:t>
            </w:r>
            <w:r>
              <w:t xml:space="preserve">Cette décision appelle une vigilance particulière quant au respect du délai imparti pour produire le mémoire exposant les motifs d’un recours devant l’EUIPO. Elle montre également que l’invocation d’une prorogation de délai applicable à certaines parties établies en Ukraine et la présentation d’une demande de restitutio in integrum ne dispensent pas, par elles-mêmes, de satisfaire aux conditions procédurales requises. En pratique, les titulaires, demandeurs et leurs conseils doivent documenter sans délai toute difficulté susceptible d’affecter l’accomplissement d’un acte de procédure et apprécier précisément le régime de délais applicable. La portée exacte des conditions retenues par le Tribunal demeure toutefois à vérifier sur le texte officiel intégral, l’accès direct à celui-ci étant techniquement incomplet.</w:t>
            </w:r>
          </w:p>
        </w:tc>
      </w:tr>
    </w:tbl>
    <w:p>
      <w:pPr>
        <w:pStyle w:val="Heading1"/>
        <w:pBdr>
          <w:bottom w:val="single" w:color="222222" w:sz="6" w:space="6"/>
        </w:pBdr>
        <w:spacing w:after="180" w:before="300"/>
      </w:pPr>
      <w:r>
        <w:rPr>
          <w:b/>
          <w:bCs/>
        </w:rPr>
        <w:t xml:space="preserve">ACTUALITÉS</w:t>
      </w:r>
    </w:p>
    <w:p>
      <w:pPr>
        <w:pStyle w:val="Heading2"/>
        <w:keepNext/>
        <w:spacing w:after="100" w:before="180"/>
      </w:pPr>
      <w:r>
        <w:rPr>
          <w:b/>
          <w:bCs/>
          <w:color w:val="1F4E79"/>
        </w:rPr>
        <w:t xml:space="preserve">L’OEB appelle à adapter le système des brevets aux enjeux de l’intelligence artificielle</w:t>
      </w:r>
    </w:p>
    <w:p>
      <w:pPr>
        <w:keepNext/>
        <w:spacing w:after="240"/>
      </w:pPr>
      <w:hyperlink w:history="1" r:id="rIdvbmh21eduls_1nnf93ya5">
        <w:r>
          <w:rPr>
            <w:color w:val="507D82"/>
            <w:u w:val="single"/>
          </w:rPr>
          <w:t xml:space="preserve">Office européen des brevets, 12 octobre 2026</w:t>
        </w:r>
      </w:hyperlink>
    </w:p>
    <w:p>
      <w:pPr>
        <w:keepLines/>
        <w:spacing w:after="130" w:line="276"/>
        <w:jc w:val="both"/>
      </w:pPr>
      <w:r>
        <w:rPr>
          <w:b/>
          <w:bCs/>
          <w:color w:val="1F4E79"/>
        </w:rPr>
        <w:t xml:space="preserve">Contexte. </w:t>
      </w:r>
      <w:r>
        <w:t xml:space="preserve">Lors d’une table ronde de haut niveau organisée le 7 octobre 2026 au Congrès mondial de l’AIPPI à Hambourg, António Campinos, président de l’Office européen des brevets, a échangé avec des représentants de l’Office allemand des brevets et des marques, de la Juridiction unifiée du brevet, de l’Organisation mondiale du commerce et du Centre de médiation et d’arbitrage en matière de brevets de la Juridiction unifiée du brevet. Les discussions portaient sur l’adaptation des institutions de propriété intellectuelle aux évolutions technologiques, économiques et géopolitiques.</w:t>
      </w:r>
    </w:p>
    <w:p>
      <w:pPr>
        <w:keepLines/>
        <w:spacing w:after="130" w:line="276"/>
        <w:jc w:val="both"/>
      </w:pPr>
      <w:r>
        <w:t xml:space="preserve">S’agissant de l’intelligence artificielle, le président de l’OEB a estimé qu’elle constituait un test de résistance pour le système des brevets plutôt qu’un motif de refonte de celui-ci. L’Office relève notamment les interrogations relatives à la qualité d’inventeur, à l’appréciation de l’activité inventive, à la suffisance de la divulgation et à la prise en compte d’un état de la technique généré par l’intelligence artificielle.</w:t>
      </w:r>
    </w:p>
    <w:p>
      <w:pPr>
        <w:keepLines/>
        <w:spacing w:after="130" w:line="276"/>
        <w:jc w:val="both"/>
      </w:pPr>
      <w:r>
        <w:t xml:space="preserve">L’OEB indique recourir à l’intelligence artificielle aux différentes étapes de la procédure de délivrance, notamment pour la classification, la recherche, la traduction automatique et les recherches juridiques. Il précise toutefois que l’expertise et la responsabilité humaines demeurent déterminantes pour les décisions de fond. António Campinos a également souligné que qualité et célérité doivent se renforcer mutuellement, l’Office annonçant des rapports de recherche standard délivrés en moins de six mois et un délai moyen de 36,3 mois entre le dépôt et la délivrance, inférieur à son objectif de 48 mois.</w:t>
      </w:r>
    </w:p>
    <w:p>
      <w:pPr>
        <w:pBdr>
          <w:left w:val="single" w:color="507D82" w:sz="10" w:space="8"/>
        </w:pBdr>
        <w:spacing w:after="260" w:before="80"/>
        <w:ind w:left="180"/>
        <w:jc w:val="both"/>
      </w:pPr>
      <w:r>
        <w:t xml:space="preserve">L’OEB confirme une intégration opérationnelle de l’intelligence artificielle dans la délivrance des brevets, tout en réaffirmant que les décisions de fond restent placées sous l’expertise et la responsabilité humaines.</w:t>
      </w:r>
    </w:p>
    <w:p>
      <w:pPr>
        <w:pStyle w:val="Heading2"/>
        <w:keepNext/>
        <w:spacing w:after="100" w:before="180"/>
      </w:pPr>
      <w:r>
        <w:rPr>
          <w:b/>
          <w:bCs/>
          <w:color w:val="1F4E79"/>
        </w:rPr>
        <w:t xml:space="preserve">Résolution d’un dysfonctionnement du Registre européen des brevets</w:t>
      </w:r>
    </w:p>
    <w:p>
      <w:pPr>
        <w:keepNext/>
        <w:spacing w:after="240"/>
      </w:pPr>
      <w:hyperlink w:history="1" r:id="rIdvmmjccxqoq1sg9pslziud">
        <w:r>
          <w:rPr>
            <w:color w:val="507D82"/>
            <w:u w:val="single"/>
          </w:rPr>
          <w:t xml:space="preserve">Office européen des brevets, information relative à la disponibilité des services en ligne, 14 octobre 2026</w:t>
        </w:r>
      </w:hyperlink>
    </w:p>
    <w:p>
      <w:pPr>
        <w:keepNext/>
        <w:spacing w:after="180"/>
      </w:pPr>
      <w:r>
        <w:rPr>
          <w:b/>
          <w:bCs/>
          <w:i/>
          <w:iCs/>
          <w:color w:val="2E75B6"/>
        </w:rPr>
        <w:t xml:space="preserve">Signalé par l’alerte de Juliette.</w:t>
      </w:r>
    </w:p>
    <w:p>
      <w:pPr>
        <w:keepLines/>
        <w:spacing w:after="130" w:line="276"/>
        <w:jc w:val="both"/>
      </w:pPr>
      <w:r>
        <w:rPr>
          <w:b/>
          <w:bCs/>
          <w:color w:val="1F4E79"/>
        </w:rPr>
        <w:t xml:space="preserve">Contexte. </w:t>
      </w:r>
      <w:r>
        <w:t xml:space="preserve">L’Office européen des brevets a annoncé la résolution du dysfonctionnement concernant le Registre européen des brevets, identifié sous la référence CS393907. Les problèmes signalés le 8 octobre 2026 étaient résolus à compter du 14 octobre 2026 à 14 h 00 HEC. L’Office présente ses excuses pour la gêne occasionnée et demande que cette référence soit mentionnée dans toute correspondance relative à l’incident.</w:t>
      </w:r>
    </w:p>
    <w:p>
      <w:pPr>
        <w:keepLines/>
        <w:spacing w:after="130" w:line="276"/>
        <w:jc w:val="both"/>
      </w:pPr>
      <w:r>
        <w:t xml:space="preserve">L’information rappelle que l’indisponibilité de services de dépôt ou de paiement des taxes peut, selon le service concerné, la date et la durée de l’indisponibilité ainsi que la situation procédurale, ouvrir droit à certaines garanties juridiques. L’OEB renvoie à cet égard à la règle 134 CBE, à la règle 82quater.2 PCT, aux RCC, à la publication supplémentaire 3 du Journal officiel de l’OEB 2022 et au communiqué de l’OEB du 22 octobre 2020, publié au Journal officiel de l’OEB 2020 sous la référence A120.</w:t>
      </w:r>
    </w:p>
    <w:p>
      <w:pPr>
        <w:keepLines/>
        <w:spacing w:after="130" w:line="276"/>
        <w:jc w:val="both"/>
      </w:pPr>
      <w:r>
        <w:t xml:space="preserve">Cette communication ne précise pas si le dysfonctionnement a affecté des opérations ou procédures déterminées. Elle confirme toutefois le rétablissement du Registre européen des brevets et rappelle le cadre susceptible de s’appliquer lorsqu’une indisponibilité technique affecte l’accomplissement d’actes auprès de l’Office.</w:t>
      </w:r>
    </w:p>
    <w:p>
      <w:pPr>
        <w:pBdr>
          <w:left w:val="single" w:color="507D82" w:sz="10" w:space="8"/>
        </w:pBdr>
        <w:spacing w:after="260" w:before="80"/>
        <w:ind w:left="180"/>
        <w:jc w:val="both"/>
      </w:pPr>
      <w:r>
        <w:t xml:space="preserve">Toute démarche adressée à l’OEB au titre de cet incident devrait mentionner la référence CS393907. L’éventuelle application de garanties juridiques dépendra notamment du service indisponible, de la durée de l’incident et de la situation procédurale concernée.</w:t>
      </w:r>
    </w:p>
    <w:p>
      <w:pPr>
        <w:pStyle w:val="Heading2"/>
        <w:keepNext/>
        <w:spacing w:after="100" w:before="180"/>
      </w:pPr>
      <w:r>
        <w:rPr>
          <w:b/>
          <w:bCs/>
          <w:color w:val="1F4E79"/>
        </w:rPr>
        <w:t xml:space="preserve">Protection des créations béninoises face aux usages non autorisés en ligne</w:t>
      </w:r>
    </w:p>
    <w:p>
      <w:pPr>
        <w:keepNext/>
        <w:spacing w:after="240"/>
      </w:pPr>
      <w:hyperlink w:history="1" r:id="rIdz_sk7zq2eavfdtf830xg-">
        <w:r>
          <w:rPr>
            <w:color w:val="507D82"/>
            <w:u w:val="single"/>
          </w:rPr>
          <w:t xml:space="preserve">La Nation, 14 octobre 2026</w:t>
        </w:r>
      </w:hyperlink>
    </w:p>
    <w:p>
      <w:pPr>
        <w:keepNext/>
        <w:spacing w:after="180"/>
      </w:pPr>
      <w:r>
        <w:rPr>
          <w:b/>
          <w:bCs/>
          <w:i/>
          <w:iCs/>
          <w:color w:val="2E75B6"/>
        </w:rPr>
        <w:t xml:space="preserve">Signalé par l’alerte de Juliette.</w:t>
      </w:r>
    </w:p>
    <w:p>
      <w:pPr>
        <w:keepLines/>
        <w:spacing w:after="130" w:line="276"/>
        <w:jc w:val="both"/>
      </w:pPr>
      <w:r>
        <w:rPr>
          <w:b/>
          <w:bCs/>
          <w:color w:val="1F4E79"/>
        </w:rPr>
        <w:t xml:space="preserve">Contexte. </w:t>
      </w:r>
      <w:r>
        <w:t xml:space="preserve">La Nation relève l’exposition des slameurs, graphistes et créateurs de contenus béninois à des reprises ou exploitations non autorisées de leurs œuvres par des marques ou des pages disposant d’une forte audience. Ces pratiques concernent notamment la diffusion en ligne de créations sans autorisation ni, le cas échéant, rémunération clairement identifiée.</w:t>
      </w:r>
    </w:p>
    <w:p>
      <w:pPr>
        <w:keepLines/>
        <w:spacing w:after="130" w:line="276"/>
        <w:jc w:val="both"/>
      </w:pPr>
      <w:r>
        <w:t xml:space="preserve">L’article rappelle que la loi béninoise n° 2005-30 du 5 avril 2006 relative au droit d’auteur protège l’œuvre dès sa création, en se référant à son article 2. Il indique également que le Code du numérique, présenté comme la loi n° 2017-20, qualifie de contrefaçon la reproduction ou la diffusion non autorisée d’une œuvre de l’esprit sur les réseaux électroniques. L’effectivité de cette protection demeure cependant tributaire de la capacité des auteurs à établir leur paternité et les conditions de l’exploitation litigieuse.</w:t>
      </w:r>
    </w:p>
    <w:p>
      <w:pPr>
        <w:keepLines/>
        <w:spacing w:after="130" w:line="276"/>
        <w:jc w:val="both"/>
      </w:pPr>
      <w:r>
        <w:t xml:space="preserve">À cet égard, la conservation des fichiers sources, des métadonnées et le recours à l’horodatage électronique sont présentés comme des instruments utiles de preuve. La source souligne aussi que certains partenariats avec des marques ne sont pas formalisés par un contrat écrit définissant le périmètre des droits concédés. Elle préconise notamment la numérisation des procédures de dépôt auprès du Bureau béninois du droit d’auteur, la diffusion de contrats types et une meilleure appropriation des mécanismes de preuve numérique.</w:t>
      </w:r>
    </w:p>
    <w:p>
      <w:pPr>
        <w:pBdr>
          <w:left w:val="single" w:color="507D82" w:sz="10" w:space="8"/>
        </w:pBdr>
        <w:spacing w:after="260" w:before="80"/>
        <w:ind w:left="180"/>
        <w:jc w:val="both"/>
      </w:pPr>
      <w:r>
        <w:t xml:space="preserve">La conservation des fichiers sources, des métadonnées et d’un horodatage électronique, combinée à un contrat écrit précisant les droits concédés et les modalités d’exploitation, constitue un levier central de sécurisation des créations diffusées en ligne.</w:t>
      </w:r>
    </w:p>
    <w:p>
      <w:pPr>
        <w:pStyle w:val="Heading2"/>
        <w:keepNext/>
        <w:spacing w:after="100" w:before="180"/>
      </w:pPr>
      <w:r>
        <w:rPr>
          <w:b/>
          <w:bCs/>
          <w:color w:val="1F4E79"/>
        </w:rPr>
        <w:t xml:space="preserve">Vietnam : bilan du droit d’auteur en vue d’une loi autonome</w:t>
      </w:r>
    </w:p>
    <w:p>
      <w:pPr>
        <w:keepNext/>
        <w:spacing w:after="240"/>
      </w:pPr>
      <w:hyperlink w:history="1" r:id="rIdiqllmtyy9bc55q5rub8k_">
        <w:r>
          <w:rPr>
            <w:color w:val="507D82"/>
            <w:u w:val="single"/>
          </w:rPr>
          <w:t xml:space="preserve">Cổng Thông tin điện tử Bộ Văn hóa, Thể thao và Du lịch du Vietnam, 15 octobre 2026</w:t>
        </w:r>
      </w:hyperlink>
    </w:p>
    <w:p>
      <w:pPr>
        <w:keepNext/>
        <w:spacing w:after="180"/>
      </w:pPr>
      <w:r>
        <w:rPr>
          <w:b/>
          <w:bCs/>
          <w:i/>
          <w:iCs/>
          <w:color w:val="2E75B6"/>
        </w:rPr>
        <w:t xml:space="preserve">Signalé par l’alerte de Juliette.</w:t>
      </w:r>
    </w:p>
    <w:p>
      <w:pPr>
        <w:keepLines/>
        <w:spacing w:after="130" w:line="276"/>
        <w:jc w:val="both"/>
      </w:pPr>
      <w:r>
        <w:rPr>
          <w:b/>
          <w:bCs/>
          <w:color w:val="1F4E79"/>
        </w:rPr>
        <w:t xml:space="preserve">Contexte. </w:t>
      </w:r>
      <w:r>
        <w:t xml:space="preserve">À Hanoï, le Département de l’industrie culturelle et du droit d’auteur du ministère vietnamien de la Culture, des Sports et du Tourisme a organisé une conférence consacrée au bilan de la mise en œuvre de la législation relative au droit d’auteur et aux droits voisins. Le vice-ministre Hồ An Phong y a présenté les orientations de cette démarche, visant à apprécier l’effectivité du cadre applicable, à identifier les difficultés persistantes et à préparer ses évolutions.</w:t>
      </w:r>
    </w:p>
    <w:p>
      <w:pPr>
        <w:keepLines/>
        <w:spacing w:after="130" w:line="276"/>
        <w:jc w:val="both"/>
      </w:pPr>
      <w:r>
        <w:t xml:space="preserve">L’évaluation a porté sur les dispositions de la loi vietnamienne sur la propriété intellectuelle ainsi que sur le décret n° 17 de 2023, modifié par le décret n° 134 de 2026, pour la période comprise entre le 1er janvier 2021 et le 30 juin 2026. Les difficultés relevées concernent notamment l’identification des titulaires et la détermination de l’étendue des droits sur les œuvres impliquant plusieurs personnes, les créations réalisées dans un cadre contractuel ou sur commande, ainsi que les œuvres financées sur fonds publics.</w:t>
      </w:r>
    </w:p>
    <w:p>
      <w:pPr>
        <w:keepLines/>
        <w:spacing w:after="130" w:line="276"/>
        <w:jc w:val="both"/>
      </w:pPr>
      <w:r>
        <w:t xml:space="preserve">Les débats ont également souligné les incertitudes relatives aux conditions d’utilisation, de reproduction, de partage et d’entraînement des systèmes d’intelligence artificielle. L’exploitation des œuvres et la rémunération des droits dans des environnements multiplateformes et transfrontaliers figurent aussi parmi les enjeux recensés. La conférence constitue une étape préparatoire à l’étude d’un projet de loi autonome sur le droit d’auteur.</w:t>
      </w:r>
    </w:p>
    <w:p>
      <w:pPr>
        <w:pBdr>
          <w:left w:val="single" w:color="507D82" w:sz="10" w:space="8"/>
        </w:pBdr>
        <w:spacing w:after="260" w:before="80"/>
        <w:ind w:left="180"/>
        <w:jc w:val="both"/>
      </w:pPr>
      <w:r>
        <w:t xml:space="preserve">Les travaux préparatoires identifient expressément les conditions d’utilisation des œuvres pour l’entraînement des systèmes d’intelligence artificielle et la rémunération des droits dans les environnements transfrontaliers comme des questions appelant une évolution du cadre juridique.</w:t>
      </w:r>
    </w:p>
    <w:sectPr>
      <w:footerReference w:type="default" r:id="rId6"/>
      <w:pgSz w:w="12240" w:h="15840" w:orient="portrait"/>
      <w:pgMar w:top="1440" w:right="820" w:bottom="145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3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sxh3cbkhafy_s7aiznwrh" Type="http://schemas.openxmlformats.org/officeDocument/2006/relationships/hyperlink" Target="https://eur-lex.europa.eu/legal-content/FR/TXT/PDF/?uri=CELEX:62025TJ0451" TargetMode="External"/><Relationship Id="rIdvbmh21eduls_1nnf93ya5" Type="http://schemas.openxmlformats.org/officeDocument/2006/relationships/hyperlink" Target="https://www.epo.org/en/news-events/news/epo-president-discusses-future-global-ip-system-aippi-world-congress" TargetMode="External"/><Relationship Id="rIdvmmjccxqoq1sg9pslziud" Type="http://schemas.openxmlformats.org/officeDocument/2006/relationships/hyperlink" Target="https://www.epo.org/fr/service-support/availability-online-services/dysfonctionnement-concernant-le-registre-europeen-12" TargetMode="External"/><Relationship Id="rIdz_sk7zq2eavfdtf830xg-" Type="http://schemas.openxmlformats.org/officeDocument/2006/relationships/hyperlink" Target="https://lanation.bj/numerique/propriete-intellectuelle-quand-les-createurs-beninois-se-font-piller-en-ligne" TargetMode="External"/><Relationship Id="rIdiqllmtyy9bc55q5rub8k_" Type="http://schemas.openxmlformats.org/officeDocument/2006/relationships/hyperlink" Target="https://bvhttdl.gov.vn/hoan-thien-hanh-lang-phap-ly-ban-quyen-tac-gia-truoc-thach-thuc-cong-nghe-ai-20260228171220317.ht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Du 12 octobre au 15 octobre 2026</dc:title>
  <dc:creator>Veille IP DLA</dc:creator>
  <dc:description>Veille hebdomadaire de propriété intellectuelle</dc:description>
  <cp:lastModifiedBy>Un-named</cp:lastModifiedBy>
  <cp:revision>1</cp:revision>
  <dcterms:created xsi:type="dcterms:W3CDTF">2026-10-15T15:38:28.801Z</dcterms:created>
  <dcterms:modified xsi:type="dcterms:W3CDTF">2026-10-15T15:38:28.801Z</dcterms:modified>
</cp:coreProperties>
</file>

<file path=docProps/custom.xml><?xml version="1.0" encoding="utf-8"?>
<Properties xmlns="http://schemas.openxmlformats.org/officeDocument/2006/custom-properties" xmlns:vt="http://schemas.openxmlformats.org/officeDocument/2006/docPropsVTypes"/>
</file>